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№4 «Склад готовой продукции»,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Базис размещения — новое строительство склада готовой продукции; резервный сценарий — размещение в существующем корпусе металлургического цеха (многопролётный корпус, пролёты 24 м, крановые 22 м, шаг колонн 6 м, длина около 186 м). Определяющее условие организации монтажа: основная часть оборудования склада — самоходная либо лёгкая, монтируется цеховыми средствами; тяжёлые и длинномерные единицы (мост крана, грузоприёмные устройства весов) устанавливаются до замыкания теплового контура нового корпуса либо через монтажные проёмы в резервном сценарии.</w:t>
      </w:r>
    </w:p>
    <w:p>
      <w:r>
        <w:rPr>
          <w:color w:val="666666"/>
          <w:sz w:val="17"/>
        </w:rPr>
        <w:t xml:space="preserve">Источник: ТЗ на БИ ред. 4.1 (раздел Лота №4, приложение №5 — весовое хозяйство и автоматизированная информационная система весоизмерения); ИД ч.2 разд. 4.2.2 — существующий корпус и крановое хозяйство;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ОВЭ75-БИ-Л4-КР — Компоновочные решения (планы, разрезы)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по подъёмным сооружениям (приказ Ростехнадзора от 26.11.2020 № 461)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Монтаж, полное техническое освидетельствование крана и траверсы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Правила по охране труда при погрузочно-разгрузочных работах (приказ Минтруда № 753н от 28.10.2020)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Погрузочно-разгрузочные работы при монтаже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77.13330.2016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Системы автоматизации — производство и приёмка монтажных работ по системам управления и весоизмерения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9238-2013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Габариты железнодорожного подвижного состава и приближения строений — проём железнодорожных ворот и габарит внутри корпуса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37.13330.2012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Промышленный транспорт — железнодорожный погрузочный фронт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71.13330.2017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Изоляционные и отделочные покрытия — приёмка ровности полов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Полы: конструкция, ровность, деформационные швы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12.3.009-76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Работы погрузочно-разгрузочные — общие требования безопасности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 ТС 010/2011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Безопасность машин и оборудования — приёмка поставляемого оборудования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Упаковка, маркирование и транспортирование продукции в районы Крайнего Севера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законченных строительством объектов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Хранение и внутрискладская техника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Автопогрузчик-штабелёр фронтальный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8–11 полная масса (ориентировочно)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Высота мачты при двухъярусном штабелировании до 3,0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Проезды и рабочие зоны склада, пол по грунту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Заезд своим ходом через ворота с габаритом проёма не менее 3,5 м; грузоподъёмные механизмы не требуются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Оценка Исполнителя; уточняется по ТКП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Пакет катодной меди — транспортная единица продукции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2,5 ± 0,05 (проверочный максимум 2,55)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Пятно 1,0 × 1,0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Зона адресного хранения, стопы до 2–3 ярусов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Перемещается штабелёрами и краном с траверсой; определяет требования к захватам и испытаниям грузозахватных приспособлений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прил. В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Отгрузка и подъёмные сооружения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Мостовой кран — мост и тележка (вариант погрузки в полувагоны)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Крановый пролёт 22,0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Подкрановые пути над железнодорожным фронтом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стреловым краном до замыкания кровли нового корпуса либо через монтажный проём в резервном сценарии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разд. 4.2.2; решение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Балка моста крана — длинномерная транспортная единица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Длина около 22,0 (по крановому пролёту)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 составе моста крана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Доставка железнодорожной платформой или автопоездом-длинномером; выгрузка и укрупнительная сборка моста на площадке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разд. 4.2.2; решение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Траверса автоматическая для пакетов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тележке крана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Съёмное грузозахватное приспособление; испытания после изготовления нагрузкой 1,25 паспортной грузоподъёмности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ФНП № 461;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Весовой учёт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Грузоприёмное устройство вагонных весов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ТКП; наибольший предел взвешивания не менее 100 т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Весовой участок железнодорожного пути, отдельный фундамент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автомобильным краном в проектное положение до укладки пути весового участка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Прил. №5 к ТЗ; расчёт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Автомобильные весы — грузоприёмная платформа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Подъезд к воротам автомобильной отгрузки, фундамент или приямок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автомобильным краном; пандусы, отбойники и демаркация зоны — до ввода в эксплуатацию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Прил. №5 к ТЗ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Платформенные конвейерные весы, наибольший предел взвешивания 3 т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≤ 3 монтажная единица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Линия приёмки пакетов, отметка 0,000; приямки с электрообогревом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жёсткое основание с разделительным швом от опор конвейера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Прил. №5 к ТЗ;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Приёмка и контроль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Конвейер приёмки пакетов — отправочная секция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≤ 3,2 (требование к членению закладывается в задание на изготовление)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Длина секции — по заданию на изготовление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 передаточных ворот в зону приёмки,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средствами; членение назначено под грузоподъёмность цеховых средств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Стенд сверления проб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≤ 3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Зона приёмки и разбраковки,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средствами; крепление анкерами к плите пола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Основная часть оборудования склада монтируется цеховыми средствами или заезжает своим ходом. Тяжёлые и длинномерные единицы — мост крана и грузоприёмные устройства весов — определяют потребность в стреловом кране и в монтажном проёме.</w:t>
      </w:r>
    </w:p>
    <w:p>
      <w:r>
        <w:rPr>
          <w:sz w:val="20"/>
        </w:rPr>
        <w:t xml:space="preserve">2. Требование к членению конвейера приёмки на отправочные секции массой не более 3,2 т введено решением стадии Базового инжиниринга и включается в задание на изготовление: оно снимает потребность в тяжёлом грузоподъёмном механизме на этапе монтажа технологической линии.</w:t>
      </w:r>
    </w:p>
    <w:p>
      <w:r>
        <w:rPr>
          <w:sz w:val="20"/>
        </w:rPr>
        <w:t xml:space="preserve">3. Массы моста и тележки крана, грузоприёмного устройства вагонных весов и траверсы заполняются по техническим предложениям изготовителей в итоговой редакции документа.</w:t>
      </w:r>
    </w:p>
    <w:p>
      <w:r>
        <w:rPr>
          <w:sz w:val="20"/>
        </w:rPr>
        <w:t xml:space="preserve">4. Пакет катодной меди приведён в ведомости как транспортная единица продукции: его масса и форма определяют требования к захватам, траверсе и испытаниям грузозахватных приспособлений, а также нагрузки на полы зоны хранения.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Длинномерной транспортной единицей лота является балка моста крана длиной около 22 м по крановому пролёту: доставка железнодорожной платформой или автопоездом-длинномером, выгрузка и укрупнительная сборка моста — на площадке у монтажного проёма.</w:t>
      </w:r>
    </w:p>
    <w:p>
      <w:r>
        <w:rPr>
          <w:sz w:val="20"/>
        </w:rPr>
        <w:t xml:space="preserve">Штабелёры доставляются автомобильным транспортом и заезжают в здание своим ходом; требуемый габарит проёма ворот — не менее 3,5 м. В резервном сценарии существующие ворота проверяются обмерным обследованием, при недостаточном габарите предусматривается расширение проёма.</w:t>
      </w:r>
    </w:p>
    <w:p>
      <w:r>
        <w:rPr>
          <w:sz w:val="20"/>
        </w:rPr>
        <w:t xml:space="preserve">Оборудование весового хозяйства поставляется с поверочными грузами соответствующего класса и установочными чертежами изготовителя; средства измерений принимаются на площадке с паспортами и результатами первичной поверки.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Пути подачи в базовом сценарии: ворота автомобильной отгрузки и железнодорожные ворота нового корпуса. Габарит железнодорожных ворот и приближение строений внутри корпуса принимаются по ГОСТ 9238-2013; габарит ворот для заезда штабелёров — не менее 3,5 м.</w:t>
      </w:r>
    </w:p>
    <w:p>
      <w:r>
        <w:rPr>
          <w:sz w:val="20"/>
        </w:rPr>
        <w:t xml:space="preserve">Мост крана монтируется до замыкания кровли корпуса. При невозможности выдержать этот порядок предусматривается монтажный проём в покрытии над крановым пролётом, назначаемый по габариту балки моста.</w:t>
      </w:r>
    </w:p>
    <w:p>
      <w:r>
        <w:rPr>
          <w:sz w:val="20"/>
        </w:rPr>
        <w:t xml:space="preserve">Грузоприёмное устройство вагонных весов устанавливается в проектное положение до укладки пути весового участка: последовательность обратного порядка потребовала бы разборки уложенного пути.</w:t>
      </w:r>
    </w:p>
    <w:p>
      <w:r>
        <w:rPr>
          <w:sz w:val="20"/>
        </w:rPr>
        <w:t xml:space="preserve">В резервном сценарии размещения в существующем корпусе монтаж ведётся с сохранением работы смежных пролётов: пути подачи, монтажные окна и зоны производства работ согласуются с эксплуатацией, зоны ограждаются и демаркируются, демонтаж существующего оснащения выполняется по дефектной ведомости обследования.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Фундаменты весового оборудования, закладные детали, приямки платформенных весов с электрообогревом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 готовности корпуса; завершение — акт готовности фундаментов с исполнительной схемой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Устройство полов с упрочнённым верхним слоем и машиночитаемой адресной разметкой; деформационные швы вне колеи основных проездов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приёмка ровности двухметровой контрольной рейкой и проверка машиночитаемости разметки штатными сканерами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ворот и тепловых завес автомобильного и железнодорожного фронтов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готовности проёмов; завершение — проверка габаритов проёмов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мостового крана с траверсой до замыкания теплового контура корпуса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полное техническое освидетельствование крана и испытания траверсы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Укладка железнодорожного пути погрузочного фронта и монтаж вагонных весов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Грузоприёмное устройство устанавливается до укладки пути весового участка; завершение — первичная поверка весов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Автомобильный кран, путевые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конвейера приёмки пакетов, платформенных весов, стенда сверления проб и оборудования упаковки и маркировки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выставка по установочным чертежам изготовителя и закрепление анкерами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 грузоподъёмностью не менее 3,2 т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Ввод штабелёров, монтаж систем позиционирования, оборудования автоматизированной системы управления складом и информационной системы весоизмерения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Штабелёры заезжают своим ходом; завершение — подтверждение точности постановки пакета по адресу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Индивидуальные испытания, проверка функций безопасности и передача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акт о выполнении монтажных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испытаний и наладки</w:t>
            </w:r>
          </w:p>
        </w:tc>
      </w:tr>
    </w:tbl>
    <w:p>
      <w:r>
        <w:rPr>
          <w:sz w:val="20"/>
        </w:rPr>
        <w:t xml:space="preserve">Ограничение последовательности: полы с адресной разметкой сдаются до ввода автоматической техники, поскольку ровность покрытия и качество разметки определяют работоспособность систем позиционирования штабелёров; последующее устройство или ремонт покрытия требует вывода зоны хранения из работы.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моста крана до замыкания кровли корпуса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и высота подъёма — по массе моста и тележки, определяемым техническим предложением; работа с наземной стоянки в крановом пролёте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Ведомость разд. 2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Автомобильный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Установка грузоприёмных устройств вагонных и автомобильных весов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вылете — по массе грузоприёмного устройства по техническому предложению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Прил. №5 к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Цеховые грузоподъёмные средства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конвейера приёмки, платформенных весов, стенда проб, оборудования упаковки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не менее 3,2 т — под назначенное членение конвейера на отправочные секции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Мостовой кран с автоматической траверсой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Погрузка пакетов в полувагоны; после ввода используется и при монтажных операциях в зоне фронта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не менее 3,2 т с учётом массы траверсы; полное техническое освидетельствование по завершении монтажа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разд. 4.2.2; ФНП № 461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Съёмные грузозахватные приспособления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пакетов катодной меди массой 2,5 ± 0,05 т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Испытания после изготовления нагрузкой 1,25 паспортной грузоподъёмности; проверка захвата на пакетах с фактическим профилем опорных листов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ФНП № 461; Прил. №5 к ТЗ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Монтаж и ввод подъёмных сооружений</w:t>
      </w:r>
    </w:p>
    <w:p>
      <w:r>
        <w:rPr>
          <w:sz w:val="20"/>
        </w:rPr>
        <w:t xml:space="preserve">Мостовой кран и автоматическая траверса монтируются и вводятся в работу по федеральным нормам и правилам в области промышленной безопасности подъёмных сооружений: кран проходит полное техническое освидетельствование со статическими испытаниями грузом 1,25 паспортной грузоподъёмности и динамическими — 1,1; траверса как съёмное грузозахватное приспособление испытывается после изготовления нагрузкой 1,25 паспортной грузоподъёмности.</w:t>
      </w:r>
    </w:p>
    <w:p>
      <w:r>
        <w:rPr>
          <w:sz w:val="20"/>
        </w:rPr>
        <w:t xml:space="preserve">Испытания захвата выполняются на пакетах с фактическим профилем опорных листов, формируемым катодосдирочной машиной: профиль пакета относится к межлотовому интерфейсу и подтверждается до испытаний.</w:t>
      </w:r>
    </w:p>
    <w:p>
      <w:pPr>
        <w:pStyle w:val="Heading2"/>
      </w:pPr>
      <w:r>
        <w:rPr>
          <w:b/>
          <w:sz w:val="24"/>
        </w:rPr>
        <w:t xml:space="preserve">7.2 Установка весового оборудования</w:t>
      </w:r>
    </w:p>
    <w:p>
      <w:r>
        <w:rPr>
          <w:sz w:val="20"/>
        </w:rPr>
        <w:t xml:space="preserve">Точная выставка весового оборудования выполняется по установочным чертежам изготовителя, входящим в комплект поставки. Фундаменты вагонных, автомобильных и платформенных весов — отдельные, изолированные от плиты пола и от опор смежного оборудования; приямки платформенных весов оборудуются электрообогревом.</w:t>
      </w:r>
    </w:p>
    <w:p>
      <w:r>
        <w:rPr>
          <w:sz w:val="20"/>
        </w:rPr>
        <w:t xml:space="preserve">Весовые зоны демаркируются и защищаются от наездов пандусами, отбойниками и ограждениями. Средства измерений принимаются с паспортами и первичной поверкой; поверочные грузы соответствующего класса входят в комплект поставки. Весы коммерческого учёта отгрузки применяются как средства измерений утверждённого типа.</w:t>
      </w:r>
    </w:p>
    <w:p>
      <w:pPr>
        <w:pStyle w:val="Heading2"/>
      </w:pPr>
      <w:r>
        <w:rPr>
          <w:b/>
          <w:sz w:val="24"/>
        </w:rPr>
        <w:t xml:space="preserve">7.3 Полы, ровность и адресная разметка как условие монтажа автоматической техники</w:t>
      </w:r>
    </w:p>
    <w:p>
      <w:r>
        <w:rPr>
          <w:sz w:val="20"/>
        </w:rPr>
        <w:t xml:space="preserve">Полы зоны хранения и проездов выполняются монолитной железобетонной плитой с упрочнённым верхним слоем, без порогов и перепадов на маршрутах движения. Базовая норма приёмки ровности — просвет под двухметровой контрольной рейкой не более 4 мм; для систем автоматического позиционирования поставщики штабелёров задают более жёсткие допуски плоскостности, которые принимаются по техническому предложению и вносятся в задание на полы.</w:t>
      </w:r>
    </w:p>
    <w:p>
      <w:r>
        <w:rPr>
          <w:sz w:val="20"/>
        </w:rPr>
        <w:t xml:space="preserve">В зоне адресного хранения полы выполняются безуклонными: уклон смещает стопы в два и три яруса и сбивает позиционирование. Уклоны для стока предусматриваются только в весовых и фронтовых зонах. Деформационные швы размещаются вне колеи основных проездов; швы, попадающие в колею, выполняются с жёстким заполнением — колёсная нагрузка штабелёра составляет ориентировочно 3,5–4,5 тс на малом пятне контакта.</w:t>
      </w:r>
    </w:p>
    <w:p>
      <w:r>
        <w:rPr>
          <w:sz w:val="20"/>
        </w:rPr>
        <w:t xml:space="preserve">Адресная разметка выполняется износостойкой и машиночитаемой; её геометрия и читаемость штатными сканерами проверяются до начала пусконаладки систем позиционирования.</w:t>
      </w:r>
    </w:p>
    <w:p>
      <w:pPr>
        <w:pStyle w:val="Heading2"/>
      </w:pPr>
      <w:r>
        <w:rPr>
          <w:b/>
          <w:sz w:val="24"/>
        </w:rPr>
        <w:t xml:space="preserve">7.4 Монтаж систем автоматизации и весоизмерения</w:t>
      </w:r>
    </w:p>
    <w:p>
      <w:r>
        <w:rPr>
          <w:sz w:val="20"/>
        </w:rPr>
        <w:t xml:space="preserve">Монтаж систем автоматизации выполняется по правилам производства и приёмки работ по системам автоматизации. Кабельные трассы, полевые приборы и оборудование информационной системы весоизмерения монтируются после завершения строительных работ в зоне и сдачи полов.</w:t>
      </w:r>
    </w:p>
    <w:p>
      <w:r>
        <w:rPr>
          <w:sz w:val="20"/>
        </w:rPr>
        <w:t xml:space="preserve">Допуски установки конвейера приёмки и точность нанесения разметки принимаются по требованиям поставщика системы позиционирования, определяемым техническим предложением.</w:t>
      </w:r>
    </w:p>
    <w:p>
      <w:pPr>
        <w:pStyle w:val="Heading2"/>
      </w:pPr>
      <w:r>
        <w:rPr>
          <w:b/>
          <w:sz w:val="24"/>
        </w:rPr>
        <w:t xml:space="preserve">7.5 Железнодорожный фронт</w:t>
      </w:r>
    </w:p>
    <w:p>
      <w:r>
        <w:rPr>
          <w:sz w:val="20"/>
        </w:rPr>
        <w:t xml:space="preserve">Путь погрузочного фронта в пределах фронта постановки вагонов выполняется прямым горизонтальным участком; фронт одновременной постановки — 4–6 полувагонов, что соответствует 60–90 м. Габарит приближения строений внутри корпуса и проём железнодорожных ворот принимаются по ГОСТ 9238-2013.</w:t>
      </w:r>
    </w:p>
    <w:p>
      <w:r>
        <w:rPr>
          <w:sz w:val="20"/>
        </w:rPr>
        <w:t xml:space="preserve">Основание пути и фундамент вагонных весов выполняются изолированными от плиты пола склада. Подача вагонов в корпус предусматривается без захода локомотива, маневровым устройством; решение согласуется со службой железнодорожного транспорта Заказчика.</w:t>
      </w:r>
    </w:p>
    <w:p>
      <w:pPr>
        <w:pStyle w:val="Heading2"/>
      </w:pPr>
      <w:r>
        <w:rPr>
          <w:b/>
          <w:sz w:val="24"/>
        </w:rPr>
        <w:t xml:space="preserve">7.6 Погрузочно-разгрузочные работы при монтаже</w:t>
      </w:r>
    </w:p>
    <w:p>
      <w:r>
        <w:rPr>
          <w:sz w:val="20"/>
        </w:rPr>
        <w:t xml:space="preserve">Погрузочно-разгрузочные работы при монтаже выполняются по правилам по охране труда при погрузочно-разгрузочных работах и размещении грузов и по требованиям безопасности к процессам погрузки и разгрузки. Зоны работ ограждаются, движение автоматической техники в зоне монтажа блокируется, применяется светозвуковая сигнализация.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самых тяжёлых частей (мост крана, грузоприёмное устройство вагонных весов, траверса) — заполняется по техническим предложениям в итоговой редакции пояснительной записки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Наличие и параметры монтажного проёма/такелажных путей существующего корпуса электрорафинирования (сценарий А) — обмерное обследование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 ровности полов и допуски плоскостности под автоматическую технику — по техническому предложению поставщика системы позиционирования.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Требуемая грузоподъёмность и режим работы мостового крана — после выбора варианта погрузки (полувагоны либо крытые вагоны) и получения массы траверсы.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подачи вагонов в корпус и организация маневровых работ — согласуются со службой железнодорожного транспорта Заказчика.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l4 mt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