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ВЕДОМОСТЬ ЗАКЛАДНЫХ РЕШЕНИЙ ДЛЯ ЦИФРОВИЗАЦИИ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рабочий материал базового инжиниринга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Ведомость собрана из единого реестра закладных решений (zakladki.json); формулировки требований подлежат переносу в пояснительные записки, опросные листы, перечни сигналов и задания смежникам дословно, с сохранением идентификаторов Z-NN.</w:t>
            </w:r>
          </w:p>
        </w:tc>
      </w:tr>
    </w:tbl>
    <w:p>
      <w:r>
        <w:rPr>
          <w:sz w:val="18"/>
        </w:rPr>
        <w:t xml:space="preserve">Реестр закладных решений для последующей цифровизации комплекса ОВЭ-75. Закладки — гильзы, штуцеры, площадки, каналы, резервы, строки опросных листов, протоколов и заданий — проектируются на стадии базового инжиниринга: дооснащение действующего производства обходится в 3–5 раз дороже закладки в проект и требует остановок технологии, тогда как закладка на стадии БИ стоит около нуля. Реестр — единый источник для пояснительных записок, опросных листов, перечней сигналов, заданий смежникам и настоящей сводной ведомости; каждая запись вносится в базовый состав соответствующего лота. Источник формулировок — «Реестр предложений по повышению эффективности производства, автоматизации и контролю», редакция 2.0 от 28.08.2026 (разд. 1 — базовый состав, разд. 2 — абзацы «Подготовка в базовом составе», разд. 3 — закладные части).</w:t>
      </w:r>
    </w:p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закладок 46 (Лот №1 — 11, №2 — 6, №3 — 9, №4 — 4, общезаводских — 16). Реестр обновлён 2026-08-28; ведомость сформирована 01.09.2026.</w:t>
      </w:r>
    </w:p>
    <w:p>
      <w:pPr>
        <w:pStyle w:val="Heading2"/>
      </w:pPr>
      <w:r>
        <w:t xml:space="preserve">Лот №1 · Цех обжига — 11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 · футеровка</w:t>
            </w:r>
          </w:p>
          <w:p>
            <w:r>
              <w:rPr>
                <w:color w:val="444444"/>
                <w:sz w:val="16"/>
              </w:rPr>
              <w:t xml:space="preserve">Закладные гильзы термопар футеровки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Два-три пояса закладных гильз под кабельные термопары в кладке (12–18 точек по поясам и радиусам) с кабельными выводами; гильзы включаются в задание на проект футеровки до его заказа — установка после кладки невозможна. Дополнительно 4–6 стационарных пирометров по периметру корпуса.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проект футеровки</w:t>
            </w:r>
          </w:p>
          <w:p>
            <w:r>
              <w:rPr>
                <w:sz w:val="16"/>
              </w:rPr>
              <w:t xml:space="preserve">— ОЛ печи КС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Перекладка футеровки по состоянию вместо календарных 3 лет: продление кампании на 6–12 мес возвращает 3–5 суток работы линии в год (250–450 т катодного эквивалента) и даёт раннее обнаружение перегрева корпуса.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</w:t>
            </w:r>
          </w:p>
          <w:p>
            <w:r>
              <w:rPr>
                <w:color w:val="444444"/>
                <w:sz w:val="16"/>
              </w:rPr>
              <w:t xml:space="preserve">Быстрые каналы давления слоя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2–4 быстродействующих датчика давления слоя и газовой коробки с опросом не ниже 100 Гц; веер 8–10 термопар слоя на двух уровнях и четырёх радиусах (регулирование по медиане); контроль моментов забрасывателя и затвора выгрузки; снятие эталонных спектров пульсаций 0,5–5 Гц в программе пусконаладки.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Предупреждение агломерации слоя за 30–60 минут со штатным переходом на вспомогательное дутьё: слив и чистка слоя занимают 3–7 суток (0,7–1,6 тыс. т недовыпуска); дополнительный КИП 5–8 млн ₽ окупается одной предотвращённой остановкой.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Второй пост газоанализа остаточного O₂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Дублированное измерение остаточного кислорода: пост на выходе печи и второй пост перед сернокислотным цехом, обогреваемые линии отбора, сигналы 4–20 мА/HART; газоанализаторы — длинноцикловая позиция (6–10 мес), вносятся в опросные листы базового инжиниринга.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газоанализа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Опора контура коррекции обогащения дутья и баланса серы на границе цехов: возврат 5–8 % кислорода без изменения принятой технологии.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Граница цеха обжига</w:t>
            </w:r>
          </w:p>
          <w:p>
            <w:r>
              <w:rPr>
                <w:color w:val="444444"/>
                <w:sz w:val="16"/>
              </w:rPr>
              <w:t xml:space="preserve">Узел технического учёта кислорода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Узел учёта кислорода на границе цеха: расходомер в кислородном исполнении с заводским обезжириванием, класс измерения — коммерческий, поставка с первичной поверкой; расчётные показатели нм³/т в системе; приборное подтверждение удельного расхода — в программе гарантийных испытаний.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программа гарантийных испытаний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Норма исходных данных 37,1 млн нм³/год превышает балансовую потребность примерно на 16 %; возврат 1,9–3,0 млн нм³/год — порядка 8–15 млн ₽/год.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Термопары холодных точек и зонды коррозии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Сетка 12–20 поверхностных термопар на расчётных холодных точках (бункеры и изоляторные коробки электрофильтров, врезки, компенсаторы, тупиковые участки); расчётный канал кислотной точки росы (218–221 °C при SO₃ 0,72 %) с сигнализацией «запас менее 20 °C»; два-три штуцера под зонды скорости коррозии; формализованные последовательности прогрева и продувки в ПЛК.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ведомость холодных точек</w:t>
            </w:r>
          </w:p>
          <w:p>
            <w:r>
              <w:rPr>
                <w:sz w:val="16"/>
              </w:rPr>
              <w:t xml:space="preserve">— ОЛ электрофильтров (обогрев бункеров)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Одна предотвращённая остановка на ремонт прокорродировавшего участка (2–3 суток раз в два года) сохраняет 200–300 т катодного эквивалента и 5–15 млн ₽ ремонта.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Электрофильтры</w:t>
            </w:r>
          </w:p>
          <w:p>
            <w:r>
              <w:rPr>
                <w:color w:val="444444"/>
                <w:sz w:val="16"/>
              </w:rPr>
              <w:t xml:space="preserve">Полупериодные контроллеры агрегатов питания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электрофильтров и агрегатов питания: 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аппарат); циклограмма встряхивания последнего поля со снятым питанием с оптимизацией по пылемеру; регистрация вольт-амперных характеристик полей со сравнением с эталоном ПНР. Внести до размещения заказа — аппарат длинноциклового изготовления (9–14 мес).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электрофильтров</w:t>
            </w:r>
          </w:p>
          <w:p>
            <w:r>
              <w:rPr>
                <w:sz w:val="16"/>
              </w:rPr>
              <w:t xml:space="preserve">— ОЛ агрегатов питания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Гарантия остаточной запылённости 0,1 г/нм³ перед сернокислотным цехом (степень очистки 99,5–99,7 %) переносится на изготовителя; попутно минус 30–60 % энергии коронирования (0,1–0,3 млн кВт·ч/год).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4, 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Площадки под вибродатчики и измерительные ТТ 6 кВ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Обработанные площадки под стационарные датчики вибрации и температуры подшипников — в ОЛ машин газового тракта; измерительные трансформаторы тока 6 кВ для токовой диагностики приводов; резерв 4–6 аналоговых каналов на агрегат в пределах штатного запаса 30 %; место шкафа диагностики в помещении АСУТП; эталонные спектры и вибрационная приёмка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дымососа и воздуходувки</w:t>
            </w:r>
          </w:p>
          <w:p>
            <w:r>
              <w:rPr>
                <w:sz w:val="16"/>
              </w:rPr>
              <w:t xml:space="preserve">— однолинейные схемы 6 кВ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Стационарная диагностика с первого дня — перевод машин единственной нитки газового тракта на обслуживание по состоянию; дооснащение после пуска в 3–5 раз дороже.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Частотно-регулируемые приводы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ЧРП дымососа вместо направляющего аппарата (нормировано 400 кВт при потребных 150–250 кВт) и воздуходувки дутья как точного органа контура соотношения кислород/воздух; подстроечные приводы насосов вместо дросселирования; двигатели классов IE3/IE4 для парка свыше 7,5 кВт; счётчики с цифровым интерфейсом по фидерам от 30 кВт.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ОЛ машин</w:t>
            </w:r>
          </w:p>
          <w:p>
            <w:r>
              <w:rPr>
                <w:sz w:val="16"/>
              </w:rPr>
              <w:t xml:space="preserve">— спецификация электрооборудования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0,7–1,2 ГВт·ч/год по дымососу; суммарно 1–1,7 ГВт·ч/год вспомогательной энергии (4–7 млн ₽/год) с разнесением по агрегатам в ТЭП.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Шихтоподготовка, выгрузка огарка</w:t>
            </w:r>
          </w:p>
          <w:p>
            <w:r>
              <w:rPr>
                <w:color w:val="444444"/>
                <w:sz w:val="16"/>
              </w:rPr>
              <w:t xml:space="preserve">Пробоотборники шихты и огарка, экспресс-лаборатория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 автоматических механических пробоотборника: сборный конвейер шихты после смесителя и тракт выгрузки огарка с охлаждаемым отбором; помещение экспресс-лаборатории цеха с рентгенофлуоресцентным спектрометром и анализатором серы (цикл анализа 30–60 минут вместо раза в смену); требования представительности отбора — в ОЛ конвейерных трактов.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конвейерных трактов</w:t>
            </w:r>
          </w:p>
          <w:p>
            <w:r>
              <w:rPr>
                <w:sz w:val="16"/>
              </w:rPr>
              <w:t xml:space="preserve">— компоновка (помещение лаборатории)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Состав шихты — главное возмущение печи: удержание температуры слоя и SO₂ в гарантийном коридоре при сменах рецепта; партии недожога обнаруживаются до выщелачивания.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17 (базовая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Свеча аспирации</w:t>
            </w:r>
          </w:p>
          <w:p>
            <w:r>
              <w:rPr>
                <w:color w:val="444444"/>
                <w:sz w:val="16"/>
              </w:rPr>
              <w:t xml:space="preserve">Готовность свечи к автоматическому контролю выбросов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Нормируемое измерительное сечение свечи с прямыми участками; две резервные врезки с заглушками; площадка обслуживания с лестницей; питание первой категории и кабельная трасса; место под стойку и шлюз передачи данных; фиксация в документах границы «газ на сернокислотный цех выбросом не является» (патрубок дымососа).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аспирацию и газоходы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Объект I категории негативного воздействия: после получения КЭР — программа оснащения автоматическим контролем выбросов со сроком до 4 лет; дооснащение действующей свечи — 3–10 млн ₽ плюс остановки аспирации, сблокированной с технологией.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15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Пароконденсатный тракт (РОУ)</w:t>
            </w:r>
          </w:p>
          <w:p>
            <w:r>
              <w:rPr>
                <w:color w:val="444444"/>
                <w:sz w:val="16"/>
              </w:rPr>
              <w:t xml:space="preserve">Закладные РОУ под противодавленческую машину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Тройники и отсечная арматура в обвязке байпаса редукционно-охладительной установки; площадка 6×4 м с фундаментом; кабельная трасса и резервная ячейка в распределительном устройстве.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пароконденсатного тракта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однолинейная схема РУ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паровой машины на перепаде РОУ ставится позднее без врезок и остановки паросилового тракта.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14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№2 · Участок купоросов — 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Выпарка, кристаллизация</w:t>
            </w:r>
          </w:p>
          <w:p>
            <w:r>
              <w:rPr>
                <w:color w:val="444444"/>
                <w:sz w:val="16"/>
              </w:rPr>
              <w:t xml:space="preserve">Байпасы плотномеров и раздельные расходомеры пара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под поточные плотномеры в P&amp;ID обеих ниток; раздельные расходомеры греющего пара по ступеням; расчётный блок пересыщения в ТЗ на прикладное ПО; резервные гильзы температур по высоте аппарата; снятие кривых растворимости и ширины метастабильной зоны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ОЛ испарителей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Детерминированное регулирование по пересыщению стабилизирует метастабильную зону кристаллизации — крупность кристаллов и влажность в гарантийном коридоре; готовность к надстройке прогнозирующего управления.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21; разд. 2 п. 7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Подогреватели</w:t>
            </w:r>
          </w:p>
          <w:p>
            <w:r>
              <w:rPr>
                <w:color w:val="444444"/>
                <w:sz w:val="16"/>
              </w:rPr>
              <w:t xml:space="preserve">Термосопротивления и расходомеры подогревателей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Пары термосопротивлений на входе и выходе и индивидуальные расходомеры пара каждого подогревателя — в перечень линий; расчётный блок коэффициента теплопередачи в ТЗ на прикладное ПО; пороги чистки — в технологический регламент; фиксация коэффициента чистых поверхностей на ПНР как базы гарантийных сравнений.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технологический регламент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Чистка по состоянию вместо календарной: зарастание видно по тренду коэффициента теплопередачи, а не по падению производительности нитки.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Кристаллизация</w:t>
            </w:r>
          </w:p>
          <w:p>
            <w:r>
              <w:rPr>
                <w:color w:val="444444"/>
                <w:sz w:val="16"/>
              </w:rPr>
              <w:t xml:space="preserve">Петли под поточную гранулометрию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с фланцами и арматурой на обеих ступенях обеих ниток кристаллизации; смотровые штуцеры в ОЛ испарителей; питание и сетевые порты на этажерке под проточную измерительную ячейку.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ОЛ испарителей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поточной гранулометрии подключается конфигурацией без остановки выпарки; крупность кристаллов — прямая защита товарного качества купороса.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9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Замкнутый контур выпарки</w:t>
            </w:r>
          </w:p>
          <w:p>
            <w:r>
              <w:rPr>
                <w:color w:val="444444"/>
                <w:sz w:val="16"/>
              </w:rPr>
              <w:t xml:space="preserve">Регулируемая отсечка и пробоотборные линии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Регулируемый диапазон отсечки — в ОЛ выпарки; полное тегирование потоков замкнутого контура; байпасные пробоотборные линии с площадками под будущий поточный анализатор; влагомер и весы кека — в ОЛ весоизмерения.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выпарки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ОЛ весоизмерения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прогнозу накопления примесей и оптимальной отсечке на выпарку без врезок в действующий контур.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10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растворения купороса</w:t>
            </w:r>
          </w:p>
          <w:p>
            <w:r>
              <w:rPr>
                <w:color w:val="444444"/>
                <w:sz w:val="16"/>
              </w:rPr>
              <w:t xml:space="preserve">Узел квалифицированного возврата конденсата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Контур автоматической маршрутизации профицита конденсата (4,7 м³/ч) в P&amp;ID: кондуктометр и pH-метр на напорной линии, электромагнитный расходомер, два футерованных клапана и насос; кондиционный поток — на репульпатор и приготовление реагентов, некондиционный — обратно в кислый контур или на нейтрализацию (перевод за 5–10 с); учёт — в интерфейсную карту кислой системы оборотного водоснабжения.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интерфейсная карта СОВ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Замещение до 39 тыс. м³/год свежей производственной воды (около половины потребления комплекса) и инструментально подтверждённый нулевой сброс.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Фасовка купороса</w:t>
            </w:r>
          </w:p>
          <w:p>
            <w:r>
              <w:rPr>
                <w:color w:val="444444"/>
                <w:sz w:val="16"/>
              </w:rPr>
              <w:t xml:space="preserve">Автоматическая станция фасовки с паспортом партии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Требования ОЛ подняты до автоматической станции: подача и герметичный обжим горловины, дозирование, виброуплотнение, завязка, отвод конвейером без постоянного присутствия людей; электронный паспорт каждого контейнера (≈19 в сутки): масса коммерческого учёта, влажность по СВЧ-влагомеру, автоматический пробоотбор, QR-этикетка; блокировка отгрузки несоответствующего контейнера; строительное задание (фундамент весов, зона накопления, проезд погрузчика). Позиция длительного цикла — 8–12 мес.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станции фасовки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один-два явочных работника в зоне канцерогена (аэрозоли солей никеля, ПДК 0,005 мг/м³), снижение класса условий труда, закрытие рисков претензий получателя.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№3 · Электроэкстракция — 9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Серии электролиза</w:t>
            </w:r>
          </w:p>
          <w:p>
            <w:r>
              <w:rPr>
                <w:color w:val="444444"/>
                <w:sz w:val="16"/>
              </w:rPr>
              <w:t xml:space="preserve">Стационарный съём 180 милливольтовых точек (1 Гц)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180 милливольтовых точек по ваннам обеих серий: модули аналогового ввода с гальванической развязкой каналов, опрос с частотой 1 Гц, хранение сырых рядов не менее 3 лет (≈50 ГБ/год); единая синхронизация времени; журнал дозировок; посадочное место и питание I категории под аналитический вычислитель.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сигналов Лота №3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Данные для советчика выхода по току и ранней диагностики коротких замыканий копятся с первого дня — надстройка подключается без врезок и остановок серии.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Краны ванного зала</w:t>
            </w:r>
          </w:p>
          <w:p>
            <w:r>
              <w:rPr>
                <w:color w:val="444444"/>
                <w:sz w:val="16"/>
              </w:rPr>
              <w:t xml:space="preserve">Закладные на кранах: ИК-пост, балка, дискреты зон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кранов: закладная площадка, питание и канал связи на мосту под инфракрасный пост контроля коротких замыканий с привязкой к паре электродов; конструктивный резерв под измерительную токовую балку (масса, питание, канал с тележки); дискретные входы зонных блокировок; интерфейс «карта коротких замыканий» — в перечне сигналов; кабельные короба вдоль рядов.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прикладные функции АСУ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ИК-контроль и токовая карта серии реализуются без доработки крана после поставки; доработка крана в эксплуатации требует остановок зала и повторных испытаний ПС.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15, 17; разд. 2 п. 8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Катодосдирочная машина</w:t>
            </w:r>
          </w:p>
          <w:p>
            <w:r>
              <w:rPr>
                <w:color w:val="444444"/>
                <w:sz w:val="16"/>
              </w:rPr>
              <w:t xml:space="preserve">Посты машинного зрения и идентификация матриц в ОЛ КСМ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катодосдирочной машины: два инспекционных поста (камеры с бестеневой подсветкой после промывки и на укладке); детерминированная пороговая классификация дефектов с автоматической отбраковкой листа до формирования пакета; передача кодов дефектов с привязкой лист — матрица — ванна по очереди выгрузки; закладные, питание и резерв 2 м выходного конвейера под отдельный пост; поле «код дефекта листа/пакета» в межлотовом протоколе.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межлотовый протокол Лот №3 — Лот №4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Стопроцентный контроль сортности при такте 120 листов/ч; локализация ванн с дендритами за 1–2 цикла; исключение пересортицы М00к (0,5 % выпуска — 350 т/год с дисконтом); высвобождение двух контролёров в смену (8–10 млн ₽/год).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Электролит</w:t>
            </w:r>
          </w:p>
          <w:p>
            <w:r>
              <w:rPr>
                <w:color w:val="444444"/>
                <w:sz w:val="16"/>
              </w:rPr>
              <w:t xml:space="preserve">Анализаторные помещения и петли DN25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Помещение анализаторной у циркуляционных баков — в компоновке; байпасные петли DN25 (футерованное исполнение, электрообогрев) от трёх точек — богатый фильтрат на межцеховой границе и питание каждой из двух серий — с термостатированной пробоподготовкой и самотёчным возвратом пробы; контуры анализа (медь, серная кислота, хлор, железо) с уставками; позиция в перечне длинноциклового оборудования.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поточных анализаторов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Поточная химия электролита с лабораторным арбитражем межцеховой границы: коррекция дозирования и защита катода от примесей между лабораторными циклами.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Выпрямительные агрегаты</w:t>
            </w:r>
          </w:p>
          <w:p>
            <w:r>
              <w:rPr>
                <w:color w:val="444444"/>
                <w:sz w:val="16"/>
              </w:rPr>
              <w:t xml:space="preserve">Задание на стык выпрямителей: уставка, поддерживающий ток, шунты, счётчики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задание на выпрямительные агрегаты: гарантийный КПД тракта не ниже 0,975–0,98 в рабочей точке 42,45 кА с методикой приёмочных измерений и кривыми КПД в диапазоне 30–47 кА; дистанционная плавная уставка тока 20–100 % с ограничителем градиента; режим поддерживающего тока 5–10 % номинала; шунты постоянного тока класса 0,2 и счётчики переменного тока класса 0,5S комплектно; телеметрия температур тиристоров и трансформаторов; карта допустимых токовых пауз — запросом в ОЛ поставщика анодов.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выпрямительные агрегаты</w:t>
            </w:r>
          </w:p>
          <w:p>
            <w:r>
              <w:rPr>
                <w:sz w:val="16"/>
              </w:rPr>
              <w:t xml:space="preserve">— ОЛ поставщика анодов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20–30 кВт·ч/т на крупнейшей статье энергопотребления (1,4–2,1 ГВт·ч/год, 6–9 млн ₽/год); перевод серии на резерв за 5–15 минут вместо часов; дооснащение измерениями после пуска многократно дороже закладки в заказ.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27, 29, 30; разд. 2 пп. 4–5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выпрямления</w:t>
            </w:r>
          </w:p>
          <w:p>
            <w:r>
              <w:rPr>
                <w:color w:val="444444"/>
                <w:sz w:val="16"/>
              </w:rPr>
              <w:t xml:space="preserve">Регистратор ПКЭ, ФКУ и векторные группы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Гармонический расчёт узла с моделью выпрямителей; пункты задания: пульсность, сдвиг векторных групп преобразовательных трансформаторов (квазидвадцатичетырёхпульсная схема), гарантия вклада в коэффициент гармоник; ячейки и фундаменты под фильтрокомпенсирующие устройства — в однолинейной схеме; стационарный регистратор качества электроэнергии класса A на границе балансовой принадлежности; семисуточный приёмочный замер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задание на выпрямители</w:t>
            </w:r>
          </w:p>
          <w:p>
            <w:r>
              <w:rPr>
                <w:sz w:val="16"/>
              </w:rPr>
              <w:t xml:space="preserve">— спецификация РУ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Качество электроэнергии по ГОСТ 32144 и пульсации выпрямленного тока в коридоре 1–3 % обеспечиваются без последующей реконструкции распределительного устройства.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28, 30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Сеть постоянного тока</w:t>
            </w:r>
          </w:p>
          <w:p>
            <w:r>
              <w:rPr>
                <w:color w:val="444444"/>
                <w:sz w:val="16"/>
              </w:rPr>
              <w:t xml:space="preserve">Контроль изоляции с локализацией, клеммы и перемычки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Схема контроля изоляции обеих серий с локализацией утечек по секциям; 20–30 сигналов в перечень ввода-вывода; конструктивные требования к испытательным клеммам и перемычкам — в комплекте ванн и обвязки; снятие базовых значений сопротивления изоляции чистого зала и тарировка локализации — на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комплект ванн (ОЛ)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схема электроснабжения серий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Выполнение требования разд. 7.10 ПУЭ о контроле изоляции электролизных установок; локализация утечки за часы вместо обхода всего зала.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Ванный зал</w:t>
            </w:r>
          </w:p>
          <w:p>
            <w:r>
              <w:rPr>
                <w:color w:val="444444"/>
                <w:sz w:val="16"/>
              </w:rPr>
              <w:t xml:space="preserve">СКУД-калитки крановых зон с блокировками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Калитки и барьеры крановых зон — в компоновке; кабельные трассы; дискретные входы состояния калиток — в ОЛ кранов; карта зон — в прикладных функциях АСУ; сценарные испытания блокировок с имитацией входа человека при движущемся кране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блокировок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Совмещение автоматических кранов и людей в одном зале без остановки серии; периодический контроль блокировок обязателен по Прил. №5.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17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Реагентное хозяйство</w:t>
            </w:r>
          </w:p>
          <w:p>
            <w:r>
              <w:rPr>
                <w:color w:val="444444"/>
                <w:sz w:val="16"/>
              </w:rPr>
              <w:t xml:space="preserve">Реагентный узел как автоматическая весовая станция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Компоновка автоматического реагентного узла с весовым дозированием добавок пропорционально ампер-часам; локальный шкаф ввода-вывода; датчики аэрозоля; весовые каналы с поверкой; методика испытаний «доза — эффект»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Нормирование расхода добавок по массе и удержание тумана серной кислоты ниже ПДК 1 мг/м³, подтверждаемое аттестованной методикой.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№4 · Склад готовой продукции — 4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Склад готовой продукции</w:t>
            </w:r>
          </w:p>
          <w:p>
            <w:r>
              <w:rPr>
                <w:color w:val="444444"/>
                <w:sz w:val="16"/>
              </w:rPr>
              <w:t xml:space="preserve">AGV-ready: ровность пола, зарядная, Wi-Fi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Класс ровности пола — в задании на корпус (требование системы автоматического складирования); зарядная на два-три поста; сплошное покрытие склада беспроводной сетью; ОЛ машин в двух исполнениях (автоматическое и водительское); блокировка «стоп при подаче вагонов» — в карте сигналов.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 на корпус</w:t>
            </w:r>
          </w:p>
          <w:p>
            <w:r>
              <w:rPr>
                <w:sz w:val="16"/>
              </w:rPr>
              <w:t xml:space="preserve">— ОЛ штабелёров</w:t>
            </w:r>
          </w:p>
          <w:p>
            <w:r>
              <w:rPr>
                <w:sz w:val="16"/>
              </w:rPr>
              <w:t xml:space="preserve">— карта сигналов блокировок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Безлюдное исполнение штабелёров вводится без переделки пола и сетей; такт 4 мин (пик 7 пакетов/ч) подтверждается обкаткой на ПНР; резерв — водительское исполнение для нештатных режимов.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Погрузка вагонов</w:t>
            </w:r>
          </w:p>
          <w:p>
            <w:r>
              <w:rPr>
                <w:color w:val="444444"/>
                <w:sz w:val="16"/>
              </w:rPr>
              <w:t xml:space="preserve">Управляемая уставка массы пакета и таблица ЦМ-943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Строка дистанционно управляемой уставки массы пакета — в ОЛ машины и межлотовом протоколе; машиночитаемая таблица ограничений схем размещения и крепления по ЦМ-943 (симметрия, нагрузки на ось и тележку), единая для алгоритма и приёмосдатчиков; резерв канала связи с автоматизированной системой железнодорожного цеха — в схеме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Оптимизационный набор вагона до грузоподъёмности 69,5–70 т по фактическим массам пакетов; расчёт детерминирован и воспроизводим — пригоден для коммерческого архива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Железнодорожный фронт</w:t>
            </w:r>
          </w:p>
          <w:p>
            <w:r>
              <w:rPr>
                <w:color w:val="444444"/>
                <w:sz w:val="16"/>
              </w:rPr>
              <w:t xml:space="preserve">Вагонные весы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Вагонные весы класса точности «высокий» с открытыми программными компонентами для автоматической передачи данных; контрольная точка оптимизационного набора вагона — невязка возвращается в расчёт; аттестация весовых каналов как коммерческого учёта, поставка с первичной поверкой.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спецификация весоизмерения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Замыкание контура «уставка — набор — контроль» по фактическим массам; доказательный коммерческий архив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Выходной контроль упаковки</w:t>
            </w:r>
          </w:p>
          <w:p>
            <w:r>
              <w:rPr>
                <w:color w:val="444444"/>
                <w:sz w:val="16"/>
              </w:rPr>
              <w:t xml:space="preserve">Закладные под рамки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Закладные и кронштейны, питание и сеть под две рамки выходного контроля упаковки; поле результата контроля — в модели данных склада.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задание на прикладное ПО склада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Портал контроля ставится опцией без остановки потока отгрузки; состояние упаковки фиксируется до вагона — защита в претензионной работе.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Общезаводские закладки (все лоты и стыки границ) — 16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Write-теги с ограничителями: шаблон «внешняя уставка»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шаблон «внешняя уставка» для всех главных контуров: write-тег с ограничителями диапазона и скорости, сторожевым таймером и безударным возвратом на локальное задание; «динамический паспорт» главных контуров (постоянные времени и запаздывания из ступенчатых испытаний ПНР) — в состав исполнительной документации.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 всех лотов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Любая надстройка оптимизации подключается конфигурацией за недели — без врезок и остановок производства; ПАЗ независим во всех режимах.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ИТ-инфраструктура</w:t>
            </w:r>
          </w:p>
          <w:p>
            <w:r>
              <w:rPr>
                <w:color w:val="444444"/>
                <w:sz w:val="16"/>
              </w:rPr>
              <w:t xml:space="preserve">Серверы оптимизации, OPC UA и сегмент КИИ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Резервированная пара серверов оптимизации в серверной; шлюз OPC UA; выделенный сегмент сети «оптимизация» за промышленным межсетевым экраном в логике требований к критической информационной инфраструктуре. Стороннее прикладное ПО в базовый состав не входит — закладываются шаблоны, каналы и серверные места.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надстройкам оптимизации без пересмотра сетевой архитектуры и повторной аттестации сегментов после пуска.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Архив технологических данных</w:t>
            </w:r>
          </w:p>
          <w:p>
            <w:r>
              <w:rPr>
                <w:color w:val="444444"/>
                <w:sz w:val="16"/>
              </w:rPr>
              <w:t xml:space="preserve">Секундный архив ≥5 лет, NTP/PTP, журнал оператора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Секундная история ключевых тегов в архивной системе с хранением полного разрешения не менее 5 лет; единая синхронизация времени всех контроллеров (NTP/PTP); электронный журнал оператора; журналирование и ведение записи с первого дня пусконаладки — эталонный массив данных пускового периода; СХД в спецификации с питанием I категории.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спецификация СХД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Массив пускового периода — исходные данные идентификации моделей усовершенствованного управления и базис гарантийных разборов; после пуска его не восстановить.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34,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Энергобаланс</w:t>
            </w:r>
          </w:p>
          <w:p>
            <w:r>
              <w:rPr>
                <w:color w:val="444444"/>
                <w:sz w:val="16"/>
              </w:rPr>
              <w:t xml:space="preserve">Теплосчётчики шести контуров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Теплосчётчики на шесть контуров (пар котла-утилизатора, питательная вода, три контура оборотного водоснабжения, конденсат) — отдельной группой «энергобаланс» спецификации КИП; пар — вихревыми расходомерами с коррекцией по давлению и температуре; единая синхронизация времени и передача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Приборное ядро сводной энергетической карты (около 9 МВт сбросного тепла на градирни) и год честных данных для ТЭО опций утилизации тепла.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Оборотное водоснабжение</w:t>
            </w:r>
          </w:p>
          <w:p>
            <w:r>
              <w:rPr>
                <w:color w:val="444444"/>
                <w:sz w:val="16"/>
              </w:rPr>
              <w:t xml:space="preserve">Штуцеры на обратках СОВ и площадка теплонасосной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Штуцеры Ду150–200 с отсечной арматурой на обратках трёх контуров оборотного водоснабжения; площадка 12×6 м с фундаментом и кабельный резерв у насосной; низкотемпературный график калориферов — в заданиях смежному разделу отопления и вентиляции.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оборотного водоснабжения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задания смежникам (ОВ)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утилизации 7–9 МВт сбросного тепла (рекуперация на приток, тепловые насосы) ставится без остановки контуров охлаждения.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Обходы и мобильный контроль</w:t>
            </w:r>
          </w:p>
          <w:p>
            <w:r>
              <w:rPr>
                <w:color w:val="444444"/>
                <w:sz w:val="16"/>
              </w:rPr>
              <w:t xml:space="preserve">NFC-метки и штатные точки замера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Кислотостойкие NFC/QR-метки на 180 ваннах и позициях оборудования всех четырёх лотов; штатные безопасные точки милливольтового замера на межванновой ошиновке на высоте не более 1700 мм (без лесов и стремянок — требование Прил. №5); покрытие залов беспроводной сетью; формат передачи результатов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перечни точек по четырём лотам</w:t>
            </w:r>
          </w:p>
          <w:p>
            <w:r>
              <w:rPr>
                <w:sz w:val="16"/>
              </w:rPr>
              <w:t xml:space="preserve">— комплект ванн и ошиновки (ОЛ)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Закрывает открытый пункт БИ «точки и способ милливольтового контроля ванн»; замеры выполняются между перерывами тока, опорные напряжения всех 180 ванн снимаются на ПНР.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Тяжёлый монтаж</w:t>
            </w:r>
          </w:p>
          <w:p>
            <w:r>
              <w:rPr>
                <w:color w:val="444444"/>
                <w:sz w:val="16"/>
              </w:rPr>
              <w:t xml:space="preserve">Реперные марки в КД и допуски ±2 мм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Штатные реперные марки и контрольные точки в конструкторской документации каждой тяжёлой единицы (печь, котёл-утилизатор, электрофильтры, ванны, машины, краны) — требованием опросных листов; таблицы монтажных допусков (борта смежных ванн ±2 мм на ряду 63 м) с методом контроля — в разделах «Требования к монтажу» всех четырёх лотов; пункты разбивочной основы вне вибрационных зон — в компоновке; координаты «как смонтировано» — атрибутами цифровой модели.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поставщиков тяжёлого оборудования</w:t>
            </w:r>
          </w:p>
          <w:p>
            <w:r>
              <w:rPr>
                <w:sz w:val="16"/>
              </w:rPr>
              <w:t xml:space="preserve">— разделы «Требования к монтажу»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задание на цифровую модель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Проектные 0,06 В на ванну достижимы только в допуске ±2 мм; уход контактов на 10 мВ по 180 ваннам — около 0,7 ГВт·ч/год, треть запаса гарантии удельного расхода 2050 кВт·ч/т.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Прослеживаемость партий</w:t>
            </w:r>
          </w:p>
          <w:p>
            <w:r>
              <w:rPr>
                <w:color w:val="444444"/>
                <w:sz w:val="16"/>
              </w:rPr>
              <w:t xml:space="preserve">Межлотовый протокол ключей прослеживаемости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Модель ключей «пакет — ванна — режим» в межлотовом интерфейсном протоколе Лот №3 — Лот №4; формат QR-этикетки пакета; требование хранения привязки не менее 10 лет; сырые ряды напряжений ванн и токов серий — в архиве не менее 5 лет.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прикладное ПО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Досье партии в претензионной работе и при регистрации марки; глубина претензионного разбора обеспечена архивом сырых рядов.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Освещение</w:t>
            </w:r>
          </w:p>
          <w:p>
            <w:r>
              <w:rPr>
                <w:color w:val="444444"/>
                <w:sz w:val="16"/>
              </w:rPr>
              <w:t xml:space="preserve">Стабилизированная освещённость зон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Зоны машинного зрения (посты КСМ, рамки выходного контроля упаковки, весовые) — стабилизированная освещённость без пульсаций; явный перечень зон-исключений из-под датчиков присутствия и сценариев управляемого освещения; требования управляемости — в пояснительную записку и задания смежникам (светотехнический расчёт остаётся этапом РД).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задания смежникам (ЭО)</w:t>
            </w:r>
          </w:p>
          <w:p>
            <w:r>
              <w:rPr>
                <w:sz w:val="16"/>
              </w:rPr>
              <w:t xml:space="preserve">— пояснительная записка</w:t>
            </w:r>
          </w:p>
          <w:p>
            <w:r>
              <w:rPr>
                <w:sz w:val="16"/>
              </w:rPr>
              <w:t xml:space="preserve">— перечень зон-исключений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Достоверность оптического контроля и весовых каналов; экономия управляемого освещения 0,7–1,1 ГВт·ч/год реализуется не в ущерб машинному зрению.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12, 32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Опросные листы</w:t>
            </w:r>
          </w:p>
          <w:p>
            <w:r>
              <w:rPr>
                <w:color w:val="444444"/>
                <w:sz w:val="16"/>
              </w:rPr>
              <w:t xml:space="preserve">Раздел открытых данных состояния (свыше 30 кВт)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раздел во все ОЛ динамического оборудования свыше 30 кВт и критичного: встроенные датчики вибрации и температуры подшипников, наработка, счётчики пусков, токи приводов; выдача числовых значений (не битовых статусов «норма/авария») по стандартному цифровому протоколу; карта регистров — в составе документации поставщика; единый «сервер надёжности» вместо изолированных островов.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шаблон ОЛ всех лотов</w:t>
            </w:r>
          </w:p>
          <w:p>
            <w:r>
              <w:rPr>
                <w:sz w:val="16"/>
              </w:rPr>
              <w:t xml:space="preserve">— ведомости сигналов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Дооснащение закрытых комплектных машин после пуска в 3–5 раз дороже закладки в проект; единый сервер экономит 3–8 млн ₽ на дублируемых серверах.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Модель данных</w:t>
            </w:r>
          </w:p>
          <w:p>
            <w:r>
              <w:rPr>
                <w:color w:val="444444"/>
                <w:sz w:val="16"/>
              </w:rPr>
              <w:t xml:space="preserve">Единый словарь тегов = P&amp;ID = цифровая модель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Словарь данных (кодировка тегов) единый с P&amp;ID и цифровой информационной моделью; сквозной словарь тегов комплектных поставок; единая нормативно-справочная информация с кодами корпоративной системы планирования.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ЦИМ</w:t>
            </w:r>
          </w:p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межлотовые протоколы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Сшивка проектных, монтажных и эксплуатационных данных без ручного сопоставления — основа всех последующих цифровых сервисов и суточного план-факта.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37,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Резерв каналов ввода-вывода 30 %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 каналов ввода-вывода контроллеров и портов сети не менее 30 % по всем лотам (норматив Прил. №5); резерв выдерживается при каждом добавлении точек учёта и диагностики настоящего реестра — контроллеры не пересчитываются.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спецификации шкафов АСУТП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Все закладки реестра подключаются в штатный запас; исчерпание резерва означало бы замену шкафов под каждую надстройку.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11, 37, 40 (норматив Прил. №5)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Серверная</w:t>
            </w:r>
          </w:p>
          <w:p>
            <w:r>
              <w:rPr>
                <w:color w:val="444444"/>
                <w:sz w:val="16"/>
              </w:rPr>
              <w:t xml:space="preserve">Серверные места с питанием I категории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Посадочные места, питание I категории и охлаждение под аналитические серверы и СХД секундного архива — в спецификации серверной; резерв портов коммутаторов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Вычислительная инфраструктура надстроек (советчики, балансовый монитор, ЛИМС) ставится в готовые места без реконструкции серверной.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39; разд. 2 п. 1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Испытания и пуск</w:t>
            </w:r>
          </w:p>
          <w:p>
            <w:r>
              <w:rPr>
                <w:color w:val="444444"/>
                <w:sz w:val="16"/>
              </w:rPr>
              <w:t xml:space="preserve">Машиночитаемые ПМИ и перечни блокировок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Программы и методики испытаний всех лотов — в машиночитаемой структуре «шаг — регистрируемые теги — критерий приёмки — форма акта»; машиночитаемый перечень блокировок; модуль пусковых карт — в ТЗ на АСУТП; требование к комплектным поставщикам передавать ПМИ в структурированном электронном виде, а не сканами; помещение штаба пуска с рабочими местами — в компоновке.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ОЛ комплектных поставок</w:t>
            </w:r>
          </w:p>
          <w:p>
            <w:r>
              <w:rPr>
                <w:sz w:val="16"/>
              </w:rPr>
              <w:t xml:space="preserve">— программы испытаний</w:t>
            </w:r>
          </w:p>
          <w:p>
            <w:r>
              <w:rPr>
                <w:sz w:val="16"/>
              </w:rPr>
              <w:t xml:space="preserve">— компоновка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Экономия двух-трёх инженеров-документалистов на 4–6 мес ПНР и 5–10 суток на стыках этапов; гарантийные показатели считаются автоматически из аттестованных каналов, а не оспариваются задним числом.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44; разд. 2 п. 3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Комплектные поставки КНР</w:t>
            </w:r>
          </w:p>
          <w:p>
            <w:r>
              <w:rPr>
                <w:color w:val="444444"/>
                <w:sz w:val="16"/>
              </w:rPr>
              <w:t xml:space="preserve">Двуязычные ПМИ и удалённая приёмка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Пункты удалённой заводской приёмки (прогон КСМ на полном такте 120 листов/ч по согласованному чек-листу с видеофиксацией), двуязычные русско-английские программы и методики испытаний и поддержка не менее 2 лет — в ОЛ всех комплектных поставщиков КНР; канал и шлюз — в разделе сетей; типовая схема доступа — в разделе информационной безопасности, согласуется с Заказчиком на стадии БИ, а не в период пуска.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комплектных поставок КНР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Снижение риска принять несоответствующую машину, экономия трёх-пяти очных выездов (5–15 млн ₽) и исполнимость гарантийной поддержки: диагностика по видео и данным в день обращения.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3 п. 3 (закладная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Межлотовые границы</w:t>
            </w:r>
          </w:p>
          <w:p>
            <w:r>
              <w:rPr>
                <w:color w:val="444444"/>
                <w:sz w:val="16"/>
              </w:rPr>
              <w:t xml:space="preserve">Карта точек учёта и балансовый контур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Карта точек учёта на межлотовых границах: расходомеры-плотномеры богатого фильтрата и бедного электролита, весы огарка и пылей — дополнением перечня линий (без них баланс металла не сведётся); выделенный «балансовый контур» приборов с классами точности и поверкой; такт архивирования не реже минуты; 15–20 балансовых точек водных контуров, 4–6 кондуктометров-индикаторов перетока и прямые участки DN150–350 — в ведомости линий.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интерфейсные карты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Ежесуточное сведение балансов металла и воды: утечка или перелив видны за часы вместо недель (1 % потерь кислого контура — 45 тыс. м³/год с кислотой мимо контура); инструментальная доказательная база бессточности.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36, 37, 40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ove/tools/build_zakladki.py из ove/data/zakladki.json (реестр закладных решений); источник формулировок — «Реестр предложений по повышению эффективности, автоматизации и контролю», ред. 2.0 от 28.08.2026 (разд. 1 — базовый состав, разд. 2 — «Подготовка в базовом составе», разд. 3 — закладные части).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zakladki vedomost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