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Размещается в существующем корпусе электрорафинирования меди металлургического цеха (ЦЭМ) промплощадки АО «Кольская ГМК», г. Мончегорск.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с 15.08.2026, вводная владельца: существующих цехов нет).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(1,9 м³/т мощности — в практике tankhouse 1,5–2,5). Оценка стоимости и полный расчёт — вкладка «Расчёты», блоки NB-EW/NB-COST; CAPEX обновлён.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(C-94); сам «вариант размещения» (генплан) запрошен как ИД (Q-10). Сценарий А (приспособление существующего ЦЭМ по Прил.№6) сохранён как резервный.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 (Q-10); базис по лотам подтвердить через C-94</w:t>
      </w:r>
    </w:p>
    <w:p>
      <w:pPr>
        <w:pStyle w:val="Heading2"/>
      </w:pPr>
      <w:r>
        <w:rPr>
          <w:b/>
          <w:sz w:val="26"/>
        </w:rPr>
        <w:t xml:space="preserve">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Требования к монтажу и веса тяжёлых частей</w:t>
      </w:r>
    </w:p>
    <w:p>
      <w:r>
        <w:rPr>
          <w:sz w:val="20"/>
        </w:rPr>
        <w:t xml:space="preserve">ОСОБЕННОСТЬ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Разграничение поставки и стыковка границ с позициями «вне БИ»</w:t>
      </w:r>
    </w:p>
    <w:p>
      <w:r>
        <w:rPr>
          <w:sz w:val="20"/>
        </w:rPr>
        <w:t xml:space="preserve">По ТЗ (v3.6 — п. 5.3; в v4.1 границы Лота №3 — п. 6.2)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v3.6)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(C-100).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 (C-100)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