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ОВЭ75-RFQ-18</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Специальные автоматические краны, 2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Автопозиционирование по графику выгрузки; съём/установка колпаков; выгрузка 1/3 матриц с выдержкой на стекание; нерж. 316L; ИК-датчики контроля КЗ в ваннах.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OVE75-RFQ-18</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Special automatic tankhouse cranes (2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ОВЭ75-RFQ-18 / To RFQ No. OVE75-RFQ-18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Специальные автоматические краны, 2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Автопозиционирование по графику выгрузки; съём/установка колпаков; выгрузка 1/3 матриц с выдержкой на стекание; нерж. 316L; ИК-датчики контроля КЗ в ваннах</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Референс именно в электролизном цехе меди в автоматическом режиме; коррозионностойкое исполнение под кислые аэрозоли</w:t>
            </w:r>
          </w:p>
        </w:tc>
      </w:tr>
    </w:tbl>
    <w:p>
      <w:r>
        <w:rPr>
          <w:b/>
          <w:sz w:val="20"/>
        </w:rPr>
        <w:t xml:space="preserve">Состав позиции по перечню оборудования — Equipment covered by this request:</w:t>
      </w:r>
    </w:p>
    <w:p>
      <w:r>
        <w:rPr>
          <w:b/>
          <w:sz w:val="21"/>
        </w:rPr>
        <w:t xml:space="preserve">1. Специальные автоматические краны с системой позиционирования</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Съём/установка колпаков, выгрузка катодов (1/3 ванны с равномерным шагом), транспортировка в КСМ и обратно, пошаговая установка матриц; ручной режим — замена анодов и чистка ванн от шлама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График выгрузки формируется в зависимости от плана-задания и токовой нагрузки; комплектуются бороной и поддоном для сбора проливов; рекомендуется система ИК-датчиков контроля контактного хозяйства и КЗ в ваннах</w:t>
            </w:r>
          </w:p>
        </w:tc>
      </w:tr>
      <w:tr>
        <w:tc>
          <w:tcPr>
            <w:tcW w:w="3038" w:type="dxa"/>
            <w:shd w:val="clear" w:fill="EFEFEF"/>
          </w:tcPr>
          <w:p>
            <w:r>
              <w:rPr>
                <w:b/>
                <w:sz w:val="18"/>
              </w:rPr>
              <w:t xml:space="preserve">Количество — Quantity</w:t>
            </w:r>
          </w:p>
        </w:tc>
        <w:tc>
          <w:tcPr>
            <w:tcW w:w="6600" w:type="dxa"/>
          </w:tcPr>
          <w:p>
            <w:r>
              <w:rPr>
                <w:sz w:val="18"/>
              </w:rPr>
              <w:t xml:space="preserve">2 (по одному на серию/пролёт)</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Металлические элементы и оснастка — нерж. сталь 316L или аналог</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Рекомендуется использовать существующее подъёмно-транспортное оборудование ЦЭМ после модернизации (при необходимости)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18 crane</dc:title>
  <dc:creator>ООО «КВАНТ»</dc:creator>
  <cp:lastModifiedBy>ООО «КВАНТ»</cp:lastModifiedBy>
  <dcterms:created xsi:type="dcterms:W3CDTF">2026-08-28T09:00:00Z</dcterms:created>
  <dcterms:modified xsi:type="dcterms:W3CDTF">2026-08-28T09:00:00Z</dcterms:modified>
</cp:coreProperties>
</file>