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№3 «Отделение электроэкстракции»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Стоимостной блок: порядок сбора ТКП и бюджетной оценки поставки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ОВЭ75-БИ-Л3-СТ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D-29, D-30.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устанавливает порядок формирования стоимостной части Базового инжиниринга по Лоту №3 «Отделение электроэкстракции»: состав и границы цены комплектной поставки, методическую базу и класс точности бюджетной оценки, базис цен и требования к содержанию технико-коммерческих предложений изготовителей, реестр закупочных позиций лота с перечнем кандидатов-изготовителей и статусом запросов, порядок сопоставления предложений и форму итоговой сводки стоимости поставки.</w:t>
      </w:r>
    </w:p>
    <w:p>
      <w:r>
        <w:rPr>
          <w:sz w:val="20"/>
        </w:rPr>
        <w:t xml:space="preserve">Документ выполняет требования состава Базового инжиниринга: «стоимость оборудования по данным технико-коммерческих предложений потенциальных поставщиков» и «оценка общей стоимости комплектной поставки технологического оборудования и материалов в границах проектирования» Технического задания на Базовый инжиниринг ред. 4.1.</w:t>
      </w:r>
    </w:p>
    <w:p>
      <w:r>
        <w:rPr>
          <w:sz w:val="20"/>
        </w:rPr>
        <w:t xml:space="preserve">Стоимостные значения в настоящем документе не приводятся. Ценовые графы форм разделов 5 и 6 заполняются после получения предложений изготовителей; до этого момента в графах проставляется отметка «по ТКП». Настоящая ревизия документа устанавливает порядок работ и состав форм и подлежит согласованию с Заказчиком в части перечня основного оборудования, выносимого на запрос предложений, и перечня адресатов запросов.</w:t>
      </w:r>
    </w:p>
    <w:p>
      <w:r>
        <w:rPr>
          <w:sz w:val="20"/>
        </w:rPr>
        <w:t xml:space="preserve">Стоимость поставки Лота №3 определяется серийными позициями большого тиража — 180 электролизных ванн, парк анодов и катодных матриц — и тремя комплектными машинами: катодосдирочная машина, два специальных автоматических крана и ошиновка серий. Серийные позиции задают также логистическую составляющую цены: только по трём позициям объём перевозки в Мончегорск составляет около 3,3–3,4 тыс. т.</w:t>
      </w:r>
    </w:p>
    <w:p>
      <w:r>
        <w:rPr>
          <w:color w:val="666666"/>
          <w:sz w:val="17"/>
        </w:rPr>
        <w:t xml:space="preserve">Источник: ТЗ на БИ ред. 4.1 — раздел «Стоимость поставки по Лоту №3», границы проектирования п. 6.2 и перечень позиций, не включаемых в Базовый инжиниринг, п. 6.3; ИД ч.2 (табл. 4.2, приложение В — комплектность поставки, шеф-монтаж и пусконаладка); AACE RP 18R-97; ГОСТ 15846-2002 (упаковка для районов Крайнего Севера)</w:t>
      </w:r>
    </w:p>
    <w:p>
      <w:pPr>
        <w:pStyle w:val="Heading2"/>
      </w:pPr>
      <w:r>
        <w:rPr>
          <w:b/>
          <w:sz w:val="24"/>
        </w:rPr>
        <w:t xml:space="preserve">1.2 Состав цены комплектной поставки лота</w:t>
      </w:r>
    </w:p>
    <w:p>
      <w:r>
        <w:rPr>
          <w:sz w:val="20"/>
        </w:rPr>
        <w:t xml:space="preserve">В цену комплектной поставки лота включается:</w:t>
      </w:r>
    </w:p>
    <w:p>
      <w:r>
        <w:rPr>
          <w:sz w:val="20"/>
        </w:rPr>
        <w:t xml:space="preserve">Электролизные ванны с коллекторами, закладными деталями и аспирационными укрытиями; первичная загрузка анодов и катодных матриц; ошиновка серий; катодосдирочная машина с оборудованием формирования пакетов; специальные автоматические краны с траверсами; циркуляционные баки; узлы приготовления реагентов; обвязка оборудования в границах лота; полевые приборы контроля; автоматизированная система управления отделением с прикладным программным обеспечением и системой милливольтового контроля; запасные части на два года; упаковка для транспортирования в районы Крайнего Севера; шеф-монтаж и пусконаладочные работы в объёме поставки.</w:t>
      </w:r>
    </w:p>
    <w:p>
      <w:r>
        <w:rPr>
          <w:sz w:val="20"/>
        </w:rPr>
        <w:t xml:space="preserve">В цену комплектной поставки лота не включается:</w:t>
      </w:r>
    </w:p>
    <w:p>
      <w:r>
        <w:rPr>
          <w:sz w:val="20"/>
        </w:rPr>
        <w:t xml:space="preserve">Позиции перечня, не включаемого в Базовый инжиниринг по пункту 6.3 Технического задания: магистральные шины, выпрямители, напорный и сливной трубопроводы ванн, система аспирации от ванн с очисткой газов, циркуляционные насосы, теплообменники, нутч-фильтр, оборудование обработки свинцового шлама и отработанных анодов, базовое грузоподъёмное оборудование. По этим позициям в составе Базового инжиниринга выдаются задания на стыке для учёта в сводных капитальных затратах Заказчика. Строительная часть (новый корпус либо приспособление существующего) в стоимость поставки лота не входит.</w:t>
      </w:r>
    </w:p>
    <w:p>
      <w:r>
        <w:rPr>
          <w:color w:val="555555"/>
          <w:sz w:val="18"/>
        </w:rPr>
        <w:t xml:space="preserve">Границы поставки соответствуют границам проектирования лота, установленным Техническим заданием; точки разграничения по материальным потокам и энергоресурсам приведены в пояснительной записке по лоту.</w:t>
      </w:r>
    </w:p>
    <w:p>
      <w:pPr>
        <w:pStyle w:val="Heading2"/>
      </w:pPr>
      <w:r>
        <w:rPr>
          <w:b/>
          <w:sz w:val="24"/>
        </w:rPr>
        <w:t xml:space="preserve">1.3 Методическая база и класс точности оценки</w:t>
      </w:r>
    </w:p>
    <w:p>
      <w:r>
        <w:rPr>
          <w:sz w:val="20"/>
        </w:rPr>
        <w:t xml:space="preserve">Бюджетная оценка стоимости комплектной поставки выполняется как оценка класса точности Class 3 по классификации AACE RP 18R-97, что соответствует стадии Базового инжиниринга и проработке проекта на уровне 10–40 %. Диапазон точности оценки этого класса — от минус 15–20 % до плюс 15–20 %. Класс точности оценки предлагается зафиксировать в договоре: он определяет допустимый объём исходных данных и ответственность сторон за отклонение фактической стоимости от оценочной.</w:t>
      </w:r>
    </w:p>
    <w:p>
      <w:r>
        <w:rPr>
          <w:sz w:val="20"/>
        </w:rPr>
        <w:t xml:space="preserve">Оценка этого класса опирается на перечень оборудования и бюджетные предложения по основному оборудованию; сбор предложений по всем позициям перечня относится к закупочной стадии проекта и точности оценки этого класса не повышает.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Применение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AACE RP 18R-97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Классификация оценок стоимости; класс точности Class 3 для стадии Базового инжиниринга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Техническое задание на Базовый инжиниринг ред. 4.1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Состав стоимостной части: бюджетные предложения по основному оборудованию и бюджетная оценка комплектной поставки в границах проектирования лота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Приложение №5 к Техническому заданию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Комплектность запасных частей систем управления и контроля на два года эксплуатации: не менее 10 % и не менее одной штуки каждого наименования; приоритет оборудования производства Российской Федерации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ГОСТ 15846-2002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Упаковка, маркирование и транспортирование продукции в районы Крайнего Севера — обязательное требование к поставке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1.4 Связанные документы выпуска</w:t>
      </w:r>
    </w:p>
    <w:p>
      <w:r>
        <w:rPr>
          <w:sz w:val="20"/>
        </w:rPr>
        <w:t xml:space="preserve">Исходные данные для стоимостной части выпускаются в составе других документов Базового инжиниринга по лоту; настоящий документ на них ссылается и их не дублирует.</w:t>
      </w:r>
    </w:p>
    <w:p>
      <w:r>
        <w:rPr>
          <w:sz w:val="20"/>
        </w:rPr>
        <w:t xml:space="preserve">— ОВЭ75-БИ-Л3-ПЗ — Пояснительная записка</w:t>
      </w:r>
    </w:p>
    <w:p>
      <w:r>
        <w:rPr>
          <w:sz w:val="20"/>
        </w:rPr>
        <w:t xml:space="preserve">— ОВЭ75-БИ-Л3-СО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ОВЭ75-БИ-Л3-ОЛ — Опросные листы основного оборудования (альбом)</w:t>
      </w:r>
    </w:p>
    <w:p>
      <w:r>
        <w:rPr>
          <w:sz w:val="20"/>
        </w:rPr>
        <w:t xml:space="preserve">— ОВЭ75-БИ-Л3-ДЦ — Исходные требования на длинноцикловое оборудование</w:t>
      </w:r>
    </w:p>
    <w:p>
      <w:r>
        <w:rPr>
          <w:sz w:val="20"/>
        </w:rPr>
        <w:t xml:space="preserve">— ОВЭ75-БИ-Л3-МТ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ОВЭ75-БИ-Л3-ЭС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ОВЭ75-БИ-Л3-НГ — Планы строительных конструкций и фундаментов с предварительными нагрузками</w:t>
      </w:r>
    </w:p>
    <w:p>
      <w:r>
        <w:rPr>
          <w:sz w:val="20"/>
        </w:rPr>
        <w:t xml:space="preserve">— ОВЭ75-БИ-ОБ-ТКП — Реестр запросов бюджетных технико-коммерческих предложений (комплекты запросов по всем закупочным позициям проекта)</w:t>
      </w:r>
    </w:p>
    <w:p>
      <w:r>
        <w:rPr>
          <w:color w:val="555555"/>
          <w:sz w:val="18"/>
        </w:rPr>
        <w:t xml:space="preserve">Из общего реестра запросов проекта к настоящему лоту относятся 10 закупочных позиций; их перечень приведён в разделе 3.</w:t>
      </w:r>
    </w:p>
    <w:p>
      <w:pPr>
        <w:pStyle w:val="Heading1"/>
      </w:pPr>
      <w:r>
        <w:rPr>
          <w:b/>
          <w:sz w:val="28"/>
        </w:rPr>
        <w:t xml:space="preserve">2. Порядок формирования бюджетной оценки поставки</w:t>
      </w:r>
    </w:p>
    <w:p>
      <w:pPr>
        <w:pStyle w:val="Heading2"/>
      </w:pPr>
      <w:r>
        <w:rPr>
          <w:b/>
          <w:sz w:val="24"/>
        </w:rPr>
        <w:t xml:space="preserve">2.1 Двухуровневая структура оценки</w:t>
      </w:r>
    </w:p>
    <w:p>
      <w:r>
        <w:rPr>
          <w:sz w:val="20"/>
        </w:rPr>
        <w:t xml:space="preserve">Оценка стоимости комплектной поставки формируется на двух уровнях. Первый уровень — бюджетные технико-коммерческие предложения изготовителей по основному оборудованию лота: перечень основного оборудования фиксируется протоколом с Заказчиком и охватывает ориентировочно 70–80 % стоимости поставки. Второй уровень — остальные позиции перечня, материалы и вспомогательное оборудование: они оцениваются по укрупнённым показателям и ценовой базе аналогичных поставок Исполнителя с приведением к дате уровня цен.</w:t>
      </w:r>
    </w:p>
    <w:p>
      <w:r>
        <w:rPr>
          <w:sz w:val="20"/>
        </w:rPr>
        <w:t xml:space="preserve">Редакцией 4.1 Технического задания требование о представлении не менее двух-трёх предложений на каждую позицию оборудования исключено; действует формулировка «бюджетные технико-коммерческие предложения по основному оборудованию». Целевое число сопоставимых предложений по каждой позиции основного перечня принято не менее трёх: три предложения дают представительный ценовой диапазон и позволяют отбраковать предложение, не отвечающее техническим требованиям. Если по позиции подтверждённых изготовителей меньше, составляется письменное обоснование с перечнем адресатов и полученных отказов.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3900"/>
        <w:gridCol w:w="30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Уровень оценки</w:t>
            </w:r>
          </w:p>
        </w:tc>
        <w:tc>
          <w:tcPr>
            <w:tcW w:w="3900" w:type="dxa"/>
            <w:shd w:val="clear" w:fill="EFEFEF"/>
          </w:tcPr>
          <w:p>
            <w:r>
              <w:rPr>
                <w:b/>
                <w:sz w:val="15"/>
              </w:rPr>
              <w:t xml:space="preserve">Что охватывает</w:t>
            </w:r>
          </w:p>
        </w:tc>
        <w:tc>
          <w:tcPr>
            <w:tcW w:w="30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значения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Бюджетные предложения изготовителей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Основное оборудование лота по согласованному перечню — ориентировочно 70–80 % стоимости поставки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Технико-коммерческое предложение изготовителя по опросному листу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Укрупнённые показатели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Прочее оборудование перечня, материалы (трубопроводы, металлоконструкции, изоляция), полевые приборы, вспомогательные системы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Ценовая база аналогичных поставок Исполнителя, приведённая к дате уровня цен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Расчётные статьи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Логистика и упаковка, таможенные платежи по импортным позициям, шеф-монтаж и пусконаладочные работы, обучение персонала, документация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Данные предложений и расчёт по массам и объёмам поставки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2.2 Базис цен, валюта и срок действия предложений</w:t>
      </w:r>
    </w:p>
    <w:p>
      <w:r>
        <w:rPr>
          <w:sz w:val="20"/>
        </w:rPr>
        <w:t xml:space="preserve">Предложения запрашиваются на единых коммерческих условиях; без приведения к единому базису предложения разных изготовителей несопоставимы.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6754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6754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 запроса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Базис поставки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Цена указывается раздельно на условиях EXW (склад изготовителя) и DDP Мончегорск, Российская Федерация (Инкотермс 2020). Разность двух величин даёт стоимость доставки, таможенного оформления и страхования и используется как расчётная статья сводки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Валюта предложения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Валюта указывается изготовителем; в сводку значения приводятся к единой валюте по курсу на дату уровня цен. По валютным позициям в сводке сохраняется исходная валюта и курс пересчёта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Срок действия предложения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Указывается изготовителем; при выходе срока за дату сведения оценки значение актуализируется письмом изготовителя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Налоги и таможенные платежи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Цены приводятся без налога на добавленную стоимость; таможенные платежи по импортным позициям учитываются отдельной строкой сводки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Дата уровня цен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Единая для всей сводки; указывается в заголовке итоговой сводки вместе с курсами валют пересчёта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Условия платежей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График платежей и условия авансирования относятся к коммерческому блоку Заказчика и в бюджетную оценку не входят; в предложении запрашиваются справочно для оценки сроков поставки</w:t>
            </w:r>
          </w:p>
        </w:tc>
      </w:tr>
    </w:tbl>
    <w:p>
      <w:r>
        <w:rPr>
          <w:color w:val="555555"/>
          <w:sz w:val="18"/>
        </w:rPr>
        <w:t xml:space="preserve">Логистическая составляющая цены по лоту определяется объёмом серийных грузов: электролизные ванны, аноды и катодные матрицы дают около 3,3–3,4 тыс. т перевозки в Мончегорск с упаковкой по ГОСТ 15846-2002. Стоимость упаковки и перевозки запрашивается в составе предложения по условиям DDP и выделяется в сводке отдельной строкой.</w:t>
      </w:r>
    </w:p>
    <w:p>
      <w:pPr>
        <w:pStyle w:val="Heading2"/>
      </w:pPr>
      <w:r>
        <w:rPr>
          <w:b/>
          <w:sz w:val="24"/>
        </w:rPr>
        <w:t xml:space="preserve">2.3 Резерв на неопределённость стадии</w:t>
      </w:r>
    </w:p>
    <w:p>
      <w:r>
        <w:rPr>
          <w:sz w:val="20"/>
        </w:rPr>
        <w:t xml:space="preserve">Резерв на неопределённость стадии учитывает объём сведений, недоступных на Базовом инжиниринге, и включается в сводку отдельной строкой; в цены предложений изготовителей он не входит. Величина резерва определяется по перечню источников неопределённости и согласовывается с Заказчиком. Ориентировочный уровень резерва принимается в пределах диапазона точности принятого класса оценки и уточняется по мере закрытия позиций перечня предложениями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4100"/>
        <w:gridCol w:w="25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неопределённости</w:t>
            </w:r>
          </w:p>
        </w:tc>
        <w:tc>
          <w:tcPr>
            <w:tcW w:w="4100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учёта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Позиции без предложений изготовителей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Часть перечня оценивается по укрупнённым показателям и ценовой базе аналогов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группе позиций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Неполнота данных изготовителя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Массы, габариты и энергопотребление до получения предложений не заданы: влияют на стоимость логистики, монтажа и электрической части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статьям логистики и монтажа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Курсовые колебания и таможенные платежи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По импортным позициям цена зависит от валюты предложения, курса на дату сведения оценки и таможенных платежей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Курсовая оговорка и отдельная строка сводки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Уточнение границ поставки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Положение границ по электрической части и разнесение стоимости систем управления между лотами уточняются протоколом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группе позиций до согласования границ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действия предложений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Предложения имеют ограниченный срок действия; при выходе за него значения актуализируются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Указание даты уровня цен в сводке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Реестр закупочных позиций лота</w:t>
      </w:r>
    </w:p>
    <w:p>
      <w:pPr>
        <w:pStyle w:val="Heading2"/>
      </w:pPr>
      <w:r>
        <w:rPr>
          <w:b/>
          <w:sz w:val="24"/>
        </w:rPr>
        <w:t xml:space="preserve">3.1 Классы закупочных позиций</w:t>
      </w:r>
    </w:p>
    <w:p>
      <w:r>
        <w:rPr>
          <w:sz w:val="20"/>
        </w:rPr>
        <w:t xml:space="preserve">Каждой закупочной позиции присвоен класс, отражающий состояние рынка изготовителей по заданным техническим параметрам. Класс определяет трудоёмкость сбора предложений и порядок действий при недостатке кандидатов.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900"/>
        <w:gridCol w:w="8454"/>
      </w:tblGrid>
      <w:tr>
        <w:trPr>
          <w:tblHeader/>
          <w:cantSplit/>
        </w:trPr>
        <w:tc>
          <w:tcPr>
            <w:tcW w:w="900" w:type="dxa"/>
            <w:shd w:val="clear" w:fill="EFEFEF"/>
          </w:tcPr>
          <w:p>
            <w:r>
              <w:rPr>
                <w:b/>
                <w:sz w:val="15"/>
              </w:rPr>
              <w:t xml:space="preserve">Класс</w:t>
            </w:r>
          </w:p>
        </w:tc>
        <w:tc>
          <w:tcPr>
            <w:tcW w:w="8454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Характеристика позиции и порядок сбора предложений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A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Позиция закрывается серийным оборудованием, рынок широкий: сбор трёх и более сопоставимых предложений выполняется в штатном порядке.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B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Рынок узкий, число подтверждённых изготовителей ограничено: перечень адресатов требует отдельной проработки, часть кандидатов подтверждается только по запросу.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C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Позиция дефицитная: изготовители, подтверждённые по заданным параметрам, единичны; перечень адресатов расширяется целевым поиском, при недостатке предложений составляется письменное обоснование.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3.2 Реестр позиций</w:t>
      </w:r>
    </w:p>
    <w:p>
      <w:r>
        <w:rPr>
          <w:sz w:val="20"/>
        </w:rPr>
        <w:t xml:space="preserve">В реестр включены закупочные позиции Лота №3, выносимые на бюджетные технико-коммерческие предложения, а также позиции систем управления и приборов контроля, общие для всех лотов комплекса. Число кандидатов приведено по справочнику изготовителей проекта: учтены компании с подтверждённым профилем производства, проверенным по официальным источникам изготовителя.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50"/>
        <w:gridCol w:w="560"/>
        <w:gridCol w:w="1250"/>
        <w:gridCol w:w="1400"/>
        <w:gridCol w:w="2240"/>
        <w:gridCol w:w="1554"/>
      </w:tblGrid>
      <w:tr>
        <w:trPr>
          <w:tblHeader/>
          <w:cantSplit/>
        </w:trPr>
        <w:tc>
          <w:tcPr>
            <w:tcW w:w="235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560" w:type="dxa"/>
            <w:shd w:val="clear" w:fill="EFEFEF"/>
          </w:tcPr>
          <w:p>
            <w:r>
              <w:rPr>
                <w:b/>
                <w:sz w:val="15"/>
              </w:rPr>
              <w:t xml:space="preserve">Класс</w:t>
            </w:r>
          </w:p>
        </w:tc>
        <w:tc>
          <w:tcPr>
            <w:tcW w:w="1250" w:type="dxa"/>
            <w:shd w:val="clear" w:fill="EFEFEF"/>
          </w:tcPr>
          <w:p>
            <w:r>
              <w:rPr>
                <w:b/>
                <w:sz w:val="15"/>
              </w:rPr>
              <w:t xml:space="preserve">Кандидатов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География кандидатов</w:t>
            </w:r>
          </w:p>
        </w:tc>
        <w:tc>
          <w:tcPr>
            <w:tcW w:w="2240" w:type="dxa"/>
            <w:shd w:val="clear" w:fill="EFEFEF"/>
          </w:tcPr>
          <w:p>
            <w:r>
              <w:rPr>
                <w:b/>
                <w:sz w:val="15"/>
              </w:rPr>
              <w:t xml:space="preserve">Статус запроса предложений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5"/>
              </w:rPr>
              <w:t xml:space="preserve">Целевое число предложений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Электролизные ванны полимербетонные, 180 шт.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B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5; ЮАР — 1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13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Аноды из свинцового сплава, ≈15 300 шт.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B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3; Россия — 1; Индия — 1; ЮАР — 1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14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Катодные матрицы нержавеющие, ≈15 120 шт.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B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5; ЮАР — 1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15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Ошиновка ванн с двойным контактом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B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4; Индия — 1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16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Роботизированная катодосдирочная машина, 120 матриц/ч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C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4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17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Специальные автоматические краны, 2 шт.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C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5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18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Линия подготовки катодных основ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3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20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 (позиция, общая для всех лотов)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Россия — 5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26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 (позиция, общая для всех лотов)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12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Россия — 12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27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Циркуляционные баки 2 × 300 м³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</w:tbl>
    <w:p>
      <w:r>
        <w:rPr>
          <w:color w:val="555555"/>
          <w:sz w:val="18"/>
        </w:rPr>
        <w:t xml:space="preserve">По части позиций справочник не называет отдельных российских изготовителей и отсылает к отраслевому типоразмерному ряду либо к утверждённому перечню Приложения №5 к Техническому заданию, а по подъёмно-транспортному оборудованию — к модернизации оборудования Заказчика: специальные автоматические краны, 2 шт. По этим позициям перечень российских изготовителей уточняется при согласовании адресатов запроса.</w:t>
      </w:r>
    </w:p>
    <w:p>
      <w:r>
        <w:rPr>
          <w:color w:val="555555"/>
          <w:sz w:val="18"/>
        </w:rPr>
        <w:t xml:space="preserve">Графа «Целевое число предложений» задаёт число сопоставимых предложений, принимаемых к оценке по позиции. Предложения, не отвечающие правилам раздела 4.4, в это число не засчитываются.</w:t>
      </w:r>
    </w:p>
    <w:p>
      <w:pPr>
        <w:pStyle w:val="Heading2"/>
      </w:pPr>
      <w:r>
        <w:rPr>
          <w:b/>
          <w:sz w:val="24"/>
        </w:rPr>
        <w:t xml:space="preserve">3.3 Позиции, по которым перечень адресатов формируется</w:t>
      </w:r>
    </w:p>
    <w:p>
      <w:r>
        <w:rPr>
          <w:sz w:val="20"/>
        </w:rPr>
        <w:t xml:space="preserve">По перечисленным ниже позициям справочник изготовителей на момент выпуска настоящей ревизии не сформирован: перечень адресатов запроса составляется после выпуска опросных листов, определяющих исполнение и комплектность позиции.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63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Позиция</w:t>
            </w:r>
          </w:p>
        </w:tc>
        <w:tc>
          <w:tcPr>
            <w:tcW w:w="63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работы с позицией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Циркуляционные баки 2 × 300 м³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Перечень адресатов формируется по опросному листу; исполнение под кислый электролит при температуре 50 °C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3.4 Предмет подтверждения в предложении</w:t>
      </w:r>
    </w:p>
    <w:p>
      <w:r>
        <w:rPr>
          <w:sz w:val="20"/>
        </w:rPr>
        <w:t xml:space="preserve">По каждой позиции в запросе задан предмет обязательного подтверждения — техническое обстоятельство, определяющее сопоставимость предложений и пригодность оборудования для заданных условий. Предложение без подтверждения по этой графе к оценке не принимается.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Предмет подтверждения в предложении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Электролизные ванны полимербетонные, 180 шт.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Исходные данные называют конструкцию ванн поимённо: аналог подтверждается конструкцией корпуса и материалом (монолитный композит на винилэфирной основе).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Аноды из свинцового сплава, ≈15 300 шт.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Состав сплава, срок службы, гарантия по скорости коррозии и выходу свинцового шлама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Катодные матрицы нержавеющие, ≈15 120 шт.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Совместимость с принятой катодосдирочной машиной; разделение двух пластин без сращивания по нижней кромке — требование сбытового блока Заказчика.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Ошиновка ванн с двойным контактом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Исходные данные ссылаются на конструкцию ошиновки прежнего поставщика: аналог подтверждается равномерностью распределения тока по ваннам, падением напряжения на контактах и совместимостью с изоляторами ванн.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Роботизированная катодосдирочная машина, 120 матриц/ч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Обязательные требования: разделение двух пластин без сращивания по нижней кромке; «перфорация» пакета профилированием листов; формирование партий с сопроводительной документацией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Специальные автоматические краны, 2 шт.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Подтверждённый опыт эксплуатации в электролизном цехе меди в автоматическом режиме; коррозионностойкое исполнение под кислые аэрозоли.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Выпрямительные агрегаты 250 В / 47 кА, 3 шт.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Позиция в объём поставки по лоту не входит, но необходима для пуска: предложение запрашивается для сводных капитальных затрат Заказчика.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Линия подготовки катодных основ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Подтверждение, входят ли правка и обрамление катодных основ в комплект поставки катодосдирочной машины: от этого зависит граница поставки по лоту.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Соответствие утверждённому перечню Приложения №5 к Техническому заданию; для значимых объектов критической информационной инфраструктуры — наличие записи в реестре Министерства промышленности и торговли на дату экспертизы.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Перечни по видам измерений — по Приложению №5 к Техническому заданию; средства измерений из Государственного реестра, поставка с первичной поверкой.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3.5 Кандидаты-изготовители</w:t>
      </w:r>
    </w:p>
    <w:p>
      <w:r>
        <w:rPr>
          <w:sz w:val="20"/>
        </w:rPr>
        <w:t xml:space="preserve">Перечень кандидатов сформирован по справочнику изготовителей проекта и служит основой перечня адресатов запросов. Перечень открыт: он дополняется по предложению Заказчика и по результатам целевого поиска по позициям классов B и C. Окончательный состав адресатов согласовывается с Заказчиком до рассылки.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00"/>
        <w:gridCol w:w="1150"/>
        <w:gridCol w:w="5904"/>
      </w:tblGrid>
      <w:tr>
        <w:trPr>
          <w:tblHeader/>
          <w:cantSplit/>
        </w:trPr>
        <w:tc>
          <w:tcPr>
            <w:tcW w:w="23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5"/>
              </w:rPr>
              <w:t xml:space="preserve">Страна</w:t>
            </w:r>
          </w:p>
        </w:tc>
        <w:tc>
          <w:tcPr>
            <w:tcW w:w="5904" w:type="dxa"/>
            <w:shd w:val="clear" w:fill="EFEFEF"/>
          </w:tcPr>
          <w:p>
            <w:r>
              <w:rPr>
                <w:b/>
                <w:sz w:val="15"/>
              </w:rPr>
              <w:t xml:space="preserve">Кандидаты-изготовители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Электролизные ванны полимербетонные, 180 шт.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Hengshui Gains Trade Co., Ltd.; Hengshui Jiubo Composites Co., Ltd.; Sichuan Precision Technology Co., Ltd. (PRS); Hunan CHMM Metallurgy Engineering Co., Ltd.; Hangzhou Sannai Environmental Technology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ЮАР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CSI Mining SA (UNICELL®)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Аноды из свинцового сплава, ≈15 300 шт.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Unionsum International Industrial Co., Ltd.; Xi'an Howah Industry Technology Co., Ltd; Hunan SM International Industrial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ЛМЗ им. К. Либкнехта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Индия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Supercon India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ЮАР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CSI Mining SA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Катодные матрицы нержавеющие, ≈15 120 шт.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Hengshui Gains Trade Co., Ltd.; Jiangxi Tianxin Metallurgical Equipment Technology Co., Ltd.; Sanmen Sanyou Technology Inc.; Hunan CHMM Metallurgy Engineering Co., Ltd.; Tongling Huierpu Technology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ЮАР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CSI Mining SA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Ошиновка ванн с двойным контактом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Sichuan Precision Technology Co., Ltd. (PRS); Zhejiang Bridgold Copper Tech Co., Ltd.; Hunan CHMM Metallurgy Engineering Co., Ltd.; Fabmann (Keyi Industrial)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Индия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C-Flo Copper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Роботизированная катодосдирочная машина, 120 матриц/ч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Jiangxi Tianxin Metallurgical Equipment Technology Co., Ltd.; Sanmen Sanyou Technology Inc.; Sichuan Precision Technology Co., Ltd. (PRS); Hunan CHMM Metallurgy Engineering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Специальные автоматические краны, 2 шт.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Henan Mine Crane Co., Ltd.; Weihua Group (Henan Weihua Heavy Machinery); Nucleon (Xinxiang) Crane Co., Ltd.; Yuantai Crane / Henan Dongqi Machinery (одна группа); Taiyuan Heavy Industry Co., Ltd. (TYHI)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Выпрямительные агрегаты 250 В / 47 кА, 3 шт.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Green Power Co., Ltd. (Beijing Green Power Technology); Sichuan Injet Electric Co., Ltd.; Xi'an Zhong Dian Power Rectifier Works Co., Ltd.; Hunan Kori Convertors Co., Ltd.; Zhengzhou Liyuan Haina Rectifier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Линия подготовки катодных основ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Jiangxi Tianxin Metallurgical Equipment Technology Co., Ltd.; Xiangtan Lufeng Machinery Co., Ltd.; Changsha Metalcess Intelligent Equipment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ООО «Прософт-Системы» (ARIS); АО НИЦ «Инкомсистем» (АБАК К2/К3); АО «Атомик Софт» (Alpha.Platform); АО «ЭлеСи» (Integrity SCADA); ООО НПП «ЭКРА» (EKRA A01/A02)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ЗАО «ЭМИС»; ООО НПП «ЭЛЕМЕР»; АО «Промышленная группа «Метран»; ООО «ЭлМетро-Инжиниринг»; ГК «Взлёт»; ООО «НПО РИЗУР»; ООО «НПК ВИП»; ОАО «Манотомь»; ЗАО «Росма»; ООО «УЛЬТРАМАШ»; ООО «НПП КуйбышевТелеком-Метрология»; ООО «КОНВЕЛС Автоматизация»</w:t>
            </w:r>
          </w:p>
        </w:tc>
      </w:tr>
    </w:tbl>
    <w:p>
      <w:r>
        <w:rPr>
          <w:color w:val="555555"/>
          <w:sz w:val="18"/>
        </w:rPr>
        <w:t xml:space="preserve">Справочник кандидатов ограничен изготовителями со штаб-квартирами в государствах, не вводивших ограничительные меры в отношении Российской Федерации, и российскими изготовителями. По каждой позиции перечень адресатов формируется так, чтобы в него входил не менее чем один российский и не менее чем один зарубежный изготовитель.</w:t>
      </w:r>
    </w:p>
    <w:p>
      <w:r>
        <w:rPr>
          <w:color w:val="555555"/>
          <w:sz w:val="18"/>
        </w:rPr>
        <w:t xml:space="preserve">По анодам исходные данные (ИД ч.2, приложение В) указывают, что в гидрометаллургическом участке ранее испытывались аноды Ленинградского механического завода имени К. Либкнехта и компании Unionsum International Industrial Co., Ltd., претензий по результатам эксплуатации не зафиксировано. Оба изготовителя включены в перечень адресатов запроса первыми.</w:t>
      </w:r>
    </w:p>
    <w:p>
      <w:pPr>
        <w:pStyle w:val="Heading2"/>
      </w:pPr>
      <w:r>
        <w:rPr>
          <w:b/>
          <w:sz w:val="24"/>
        </w:rPr>
        <w:t xml:space="preserve">3.6 Позиции, оцениваемые по укрупнённым показателям</w:t>
      </w:r>
    </w:p>
    <w:p>
      <w:r>
        <w:rPr>
          <w:sz w:val="20"/>
        </w:rPr>
        <w:t xml:space="preserve">Перечисленные позиции на запрос предложений не выносятся: их стоимость определяется по укрупнённым показателям и ценовой базе аналогичных поставок с приведением к дате уровня цен. Объёмы по этим позициям уточняются по мере выпуска компоновочных решений, перечня трубопроводов и арматуры и решений по электрической части.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позиций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Узлы реагентов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Оборудование приготовления и дозирования реагентов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Металлоконструкции обслуживания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Площадки, ограждения и опорные конструкции электролизного зала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Обвязка в границах лота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Трубопроводы и арматура растворного тракта в границах поставки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Полевые приборы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Приборы контроля вне комплектных поставок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3.7 Позиции на границе лота вне объёма поставки</w:t>
      </w:r>
    </w:p>
    <w:p>
      <w:r>
        <w:rPr>
          <w:sz w:val="20"/>
        </w:rPr>
        <w:t xml:space="preserve">Позиции не входят в объём поставки лота, но необходимы для пуска комплекса. Предложения по ним запрашиваются для сводных капитальных затрат Заказчика, а в составе Базового инжиниринга по ним выдаются задания на стыке с указанием параметров на границе.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50"/>
        <w:gridCol w:w="560"/>
        <w:gridCol w:w="1250"/>
        <w:gridCol w:w="1400"/>
        <w:gridCol w:w="2240"/>
        <w:gridCol w:w="1554"/>
      </w:tblGrid>
      <w:tr>
        <w:trPr>
          <w:tblHeader/>
          <w:cantSplit/>
        </w:trPr>
        <w:tc>
          <w:tcPr>
            <w:tcW w:w="2350" w:type="dxa"/>
            <w:shd w:val="clear" w:fill="EFEFEF"/>
          </w:tcPr>
          <w:p>
            <w:r>
              <w:rPr>
                <w:b/>
                <w:sz w:val="15"/>
              </w:rPr>
              <w:t xml:space="preserve">Позиция</w:t>
            </w:r>
          </w:p>
        </w:tc>
        <w:tc>
          <w:tcPr>
            <w:tcW w:w="560" w:type="dxa"/>
            <w:shd w:val="clear" w:fill="EFEFEF"/>
          </w:tcPr>
          <w:p>
            <w:r>
              <w:rPr>
                <w:b/>
                <w:sz w:val="15"/>
              </w:rPr>
              <w:t xml:space="preserve">Класс</w:t>
            </w:r>
          </w:p>
        </w:tc>
        <w:tc>
          <w:tcPr>
            <w:tcW w:w="1250" w:type="dxa"/>
            <w:shd w:val="clear" w:fill="EFEFEF"/>
          </w:tcPr>
          <w:p>
            <w:r>
              <w:rPr>
                <w:b/>
                <w:sz w:val="15"/>
              </w:rPr>
              <w:t xml:space="preserve">Кандидатов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География кандидатов</w:t>
            </w:r>
          </w:p>
        </w:tc>
        <w:tc>
          <w:tcPr>
            <w:tcW w:w="2240" w:type="dxa"/>
            <w:shd w:val="clear" w:fill="EFEFEF"/>
          </w:tcPr>
          <w:p>
            <w:r>
              <w:rPr>
                <w:b/>
                <w:sz w:val="15"/>
              </w:rPr>
              <w:t xml:space="preserve">Статус запроса предложений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5"/>
              </w:rPr>
              <w:t xml:space="preserve">Учёт в оценке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Выпрямительные агрегаты 250 В / 47 кА, 3 шт.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B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5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19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Вне цены поставки лота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Запрос предложений: состав и требования</w:t>
      </w:r>
    </w:p>
    <w:p>
      <w:pPr>
        <w:pStyle w:val="Heading2"/>
      </w:pPr>
      <w:r>
        <w:rPr>
          <w:b/>
          <w:sz w:val="24"/>
        </w:rPr>
        <w:t xml:space="preserve">4.1 Состав запроса</w:t>
      </w:r>
    </w:p>
    <w:p>
      <w:r>
        <w:rPr>
          <w:sz w:val="20"/>
        </w:rPr>
        <w:t xml:space="preserve">Запрос по каждой позиции представляет собой комплект из двух частей: письмо-запрос бюджетного технико-коммерческого предложения с изложением предмета, условий и срока ответа и приложение с техническими требованиями по позиции. Техническое приложение составлено по перечню оборудования лота и содержит назначение, основные параметры, количество, материальное исполнение, известные габариты и энергопотребление. Для зарубежных адресатов письмо дополнено переводом на английский язык.</w:t>
      </w:r>
    </w:p>
    <w:p>
      <w:r>
        <w:rPr>
          <w:sz w:val="20"/>
        </w:rPr>
        <w:t xml:space="preserve">Запрос имеет бюджетный характер и относится к стадии Базового инжиниринга: он не является офертой и не создаёт обязательств сторон. Уточнённые опросные листы направляются изготовителям на последующей стадии проекта. Материалы запроса предоставляются адресату как конфиденциальные и не подлежат раскрытию третьим лицам.</w:t>
      </w:r>
    </w:p>
    <w:p>
      <w:pPr>
        <w:pStyle w:val="Heading2"/>
      </w:pPr>
      <w:r>
        <w:rPr>
          <w:b/>
          <w:sz w:val="24"/>
        </w:rPr>
        <w:t xml:space="preserve">4.2 Пакетирование запросов и технологические гарантии</w:t>
      </w:r>
    </w:p>
    <w:p>
      <w:r>
        <w:rPr>
          <w:sz w:val="20"/>
        </w:rPr>
        <w:t xml:space="preserve">Кандидаты по позициям обработки катодов, катодных матриц и линии подготовки катодных основ пересекаются: часть изготовителей закрывает несколько позиций лота. Это допускает запрос комплектного пакета обработки катодов с ответственностью за сквозной цикл (съём, промывка, формирование пакетов, обслуживание парка матриц); параллельно позиции запрашиваются раздельно для сопоставления. Электролизные ванны, ошиновка и электродный парк запрашиваются раздельно как серийные позиции большого тиража.</w:t>
      </w:r>
    </w:p>
    <w:p>
      <w:r>
        <w:rPr>
          <w:sz w:val="20"/>
        </w:rPr>
        <w:t xml:space="preserve">В запрос и опросные листы включаются технологические гарантии, определяющие пригодность оборудования и сопоставимость предложений: производительность катодосдирочной машины 120 матриц/ч при катодном шаге 95 мм и массе пакета 2500 ± 50 кг; ток серии 47,0 кА при падении напряжения на контактах ошиновки не более 0,06 В на ванну; режим работы специальных кранов не ниже А6 (М7) с позиционированием по конусам ванн; ресурс анодов и скорость их коррозии. Предложение, не содержащее подтверждения этих показателей, к оценке не принимается.</w:t>
      </w:r>
    </w:p>
    <w:p>
      <w:pPr>
        <w:pStyle w:val="Heading2"/>
      </w:pPr>
      <w:r>
        <w:rPr>
          <w:b/>
          <w:sz w:val="24"/>
        </w:rPr>
        <w:t xml:space="preserve">4.3 Требования к содержанию предложения</w:t>
      </w:r>
    </w:p>
    <w:p>
      <w:r>
        <w:rPr>
          <w:sz w:val="20"/>
        </w:rPr>
        <w:t xml:space="preserve">В составе предложения запрашиваются:</w:t>
      </w:r>
    </w:p>
    <w:p>
      <w:r>
        <w:rPr>
          <w:sz w:val="20"/>
        </w:rPr>
        <w:t xml:space="preserve">1) бюджетная цена — раздельно на условиях EXW (склад изготовителя) и DDP Мончегорск (Инкотермс 2020), с указанием валюты и срока действия предложения;</w:t>
      </w:r>
    </w:p>
    <w:p>
      <w:r>
        <w:rPr>
          <w:sz w:val="20"/>
        </w:rPr>
        <w:t xml:space="preserve">2) срок изготовления и ориентировочный срок поставки в неделях от даты заказа или авансового платежа;</w:t>
      </w:r>
    </w:p>
    <w:p>
      <w:r>
        <w:rPr>
          <w:sz w:val="20"/>
        </w:rPr>
        <w:t xml:space="preserve">3) габариты и масса единицы оборудования и наибольших поставочных блоков — для проработки логистики и требований к монтажу;</w:t>
      </w:r>
    </w:p>
    <w:p>
      <w:r>
        <w:rPr>
          <w:sz w:val="20"/>
        </w:rPr>
        <w:t xml:space="preserve">4) перечень аналогичных поставок: продукт, рабочая среда и параметры, год поставки, страна;</w:t>
      </w:r>
    </w:p>
    <w:p>
      <w:r>
        <w:rPr>
          <w:sz w:val="20"/>
        </w:rPr>
        <w:t xml:space="preserve">5) материал частей, контактирующих с рабочей средой, и комплектность поставки — приборы контроля, запасные части, документация;</w:t>
      </w:r>
    </w:p>
    <w:p>
      <w:r>
        <w:rPr>
          <w:sz w:val="20"/>
        </w:rPr>
        <w:t xml:space="preserve">6) потребность в энергоресурсах и требования к монтажу.</w:t>
      </w:r>
    </w:p>
    <w:p>
      <w:r>
        <w:rPr>
          <w:sz w:val="20"/>
        </w:rPr>
        <w:t xml:space="preserve">Срок представления предложения — 3 недели с даты получения запроса. Получение запроса подтверждается адресатом; отсутствие ответа в установленный срок фиксируется в реестре запросов и учитывается при обосновании числа собранных предложений.</w:t>
      </w:r>
    </w:p>
    <w:p>
      <w:pPr>
        <w:pStyle w:val="Heading2"/>
      </w:pPr>
      <w:r>
        <w:rPr>
          <w:b/>
          <w:sz w:val="24"/>
        </w:rPr>
        <w:t xml:space="preserve">4.4 Правила приёма предложения к оценке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69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Правило</w:t>
            </w:r>
          </w:p>
        </w:tc>
        <w:tc>
          <w:tcPr>
            <w:tcW w:w="69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Полнота опросного листа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Опросный лист заполняется по каждой позиции и содержит рабочую среду, температуру, давление, материал частей, контактирующих со средой, производительность, габариты, массу, энергопотребление, срок изготовления и условия поставки.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Материальное исполнение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Предложение без указания материала частей, контактирующих с рабочей средой, к оценке не принимается: по позициям гидрометаллургии стоимость исполнения из стали 316L и из сплавов 904L либо Hastelloy G-35 различается кратно.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Подтверждение опыта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Опыт подтверждается по продукту и рабочей среде, а не по классу оборудования: поставка аппарата того же типа на иную среду и иные параметры подтверждением не является.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Состав перечня адресатов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По каждой позиции в перечень адресатов включается не менее одного российского и не менее одного зарубежного изготовителя.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Сроки и логистика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Срок изготовления и условия поставки фиксируются в предложении письменно: они входят в исходные требования на оборудование длительного цикла изготовления и в график поставки.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4.5 Статус запросов</w:t>
      </w:r>
    </w:p>
    <w:p>
      <w:r>
        <w:rPr>
          <w:sz w:val="20"/>
        </w:rPr>
        <w:t xml:space="preserve">Комплекты запросов подготовлены по 10 позициям реестра раздела 3, включая позиции систем управления и приборов контроля, общие для всех лотов комплекса. Комплекты сведены в документе выпуска ОВЭ75-БИ-ОБ-ТКП «Реестр запросов бюджетных технико-коммерческих предложений».</w:t>
      </w:r>
    </w:p>
    <w:p>
      <w:r>
        <w:rPr>
          <w:sz w:val="20"/>
        </w:rPr>
        <w:t xml:space="preserve">Рассылка запросов выполняется после решения Заказчика: до рассылки согласовываются перечень основного оборудования, выносимого на бюджетные предложения, и перечень адресатов по каждой позиции. Такой порядок исключает обращение к изготовителям от имени проекта до согласования состава закупочных позиций и позволяет учесть действующие рамочные отношения Заказчика с изготовителями.</w:t>
      </w:r>
    </w:p>
    <w:p>
      <w:r>
        <w:rPr>
          <w:sz w:val="20"/>
        </w:rPr>
        <w:t xml:space="preserve">По позициям раздела 3.3 комплекты запросов формируются после выпуска опросных листов; их рассылка выполняется в том же порядке.</w:t>
      </w:r>
    </w:p>
    <w:p>
      <w:pPr>
        <w:pStyle w:val="Heading1"/>
      </w:pPr>
      <w:r>
        <w:rPr>
          <w:b/>
          <w:sz w:val="28"/>
        </w:rPr>
        <w:t xml:space="preserve">5. Сопоставление предложений</w:t>
      </w:r>
    </w:p>
    <w:p>
      <w:pPr>
        <w:pStyle w:val="Heading2"/>
      </w:pPr>
      <w:r>
        <w:rPr>
          <w:b/>
          <w:sz w:val="24"/>
        </w:rPr>
        <w:t xml:space="preserve">5.1 Приведение к единому базису</w:t>
      </w:r>
    </w:p>
    <w:p>
      <w:r>
        <w:rPr>
          <w:sz w:val="20"/>
        </w:rPr>
        <w:t xml:space="preserve">Полученные предложения приводятся к единому базису до сопоставления. Приведению подлежат: базис поставки (значения EXW и DDP разделяются, для сопоставления принимается DDP Мончегорск), валюта и курс на дату уровня цен, комплектность поставки (приборы контроля, запасные части, документация, шеф-монтаж и пусконаладочные работы), объём поставки по опросному листу и объём заводских испытаний. Разница в комплектности устраняется дозапросом недостающих позиций, а не пересчётом цены.</w:t>
      </w:r>
    </w:p>
    <w:p>
      <w:r>
        <w:rPr>
          <w:sz w:val="20"/>
        </w:rPr>
        <w:t xml:space="preserve">Предложения, отличающиеся материальным исполнением частей, контактирующих с рабочей средой, к сопоставлению не принимаются: они относятся к разным техническим решениям и сравниваются только после приведения исполнения к требованиям опросного листа.</w:t>
      </w:r>
    </w:p>
    <w:p>
      <w:pPr>
        <w:pStyle w:val="Heading2"/>
      </w:pPr>
      <w:r>
        <w:rPr>
          <w:b/>
          <w:sz w:val="24"/>
        </w:rPr>
        <w:t xml:space="preserve">5.2 Форма сопоставления предложений по позиции</w:t>
      </w:r>
    </w:p>
    <w:p>
      <w:r>
        <w:rPr>
          <w:sz w:val="20"/>
        </w:rPr>
        <w:t xml:space="preserve">Форма заполняется по каждой закупочной позиции реестра раздела 3. Число граф предложений соответствует числу принятых к оценке предложений, но не менее трёх.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2218"/>
        <w:gridCol w:w="2218"/>
        <w:gridCol w:w="2218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1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2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3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Изготовитель, страна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Соответствие требованиям опросного листа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Материал частей, контактирующих с рабочей средой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Гарантируемые показатели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Комплектность поставки (приборы, запасные части, документация)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Цена на условиях EXW, валюта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Цена на условиях DDP Мончегорск, валюта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действия предложения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изготовления, недель от даты заказа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Масса и габариты наибольшего поставочного блока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Шеф-монтаж и пусконаладочные работы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Подтверждение опыта по продукту и среде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Принято к сопоставлению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 Принятие значения в оценку</w:t>
      </w:r>
    </w:p>
    <w:p>
      <w:r>
        <w:rPr>
          <w:sz w:val="20"/>
        </w:rPr>
        <w:t xml:space="preserve">В бюджетную оценку по позиции принимается значение из предложения, отвечающего техническим требованиям опросного листа и подтверждённого опытом поставки по продукту и рабочей среде. В сводке по позиции указываются: принятое значение, диапазон полученных значений, число сопоставимых предложений и изготовитель, предложение которого принято. Если сопоставимых предложений меньше трёх, к сводке прилагается обоснование с перечнем адресатов и полученных отказов, а по позиции назначается повышенный резерв в соответствии с разделом 2.3.</w:t>
      </w:r>
    </w:p>
    <w:p>
      <w:r>
        <w:rPr>
          <w:color w:val="555555"/>
          <w:sz w:val="18"/>
        </w:rPr>
        <w:t xml:space="preserve">Принятое в бюджетную оценку значение не является результатом выбора поставщика: выбор изготовителя выполняется Заказчиком на закупочной стадии по итогам конкурентных процедур с уточнёнными опросными листами.</w:t>
      </w:r>
    </w:p>
    <w:p>
      <w:pPr>
        <w:pStyle w:val="Heading1"/>
      </w:pPr>
      <w:r>
        <w:rPr>
          <w:b/>
          <w:sz w:val="28"/>
        </w:rPr>
        <w:t xml:space="preserve">6. Форма итоговой сводки стоимости поставки</w:t>
      </w:r>
    </w:p>
    <w:p>
      <w:pPr>
        <w:pStyle w:val="Heading2"/>
      </w:pPr>
      <w:r>
        <w:rPr>
          <w:b/>
          <w:sz w:val="24"/>
        </w:rPr>
        <w:t xml:space="preserve">6.1 Структура сводки</w:t>
      </w:r>
    </w:p>
    <w:p>
      <w:r>
        <w:rPr>
          <w:sz w:val="20"/>
        </w:rPr>
        <w:t xml:space="preserve">Сводка стоимости комплектной поставки лота строится по группам оборудования, материалов и услуг. Для каждой группы указано основание оценки: бюджетные предложения изготовителей либо укрупнённые показатели. Ценовые графы в настоящей ревизии не заполняются.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4054"/>
        <w:gridCol w:w="1800"/>
        <w:gridCol w:w="1300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Группа</w:t>
            </w:r>
          </w:p>
        </w:tc>
        <w:tc>
          <w:tcPr>
            <w:tcW w:w="4054" w:type="dxa"/>
            <w:shd w:val="clear" w:fill="EFEFEF"/>
          </w:tcPr>
          <w:p>
            <w:r>
              <w:rPr>
                <w:b/>
                <w:sz w:val="15"/>
              </w:rPr>
              <w:t xml:space="preserve">Состав поставки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оценки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Стоимость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Электролизные ванны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180 полимербетонных корпусов с коллекторами, закладными деталями и аспирационными укрытиями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Электродный парк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Первичная загрузка анодов и катодных матриц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Ошиновка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Ошиновка серий с двойным контактом, изоляторы, контактные узлы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Обработка катодов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Катодосдирочная машина, оборудование формирования пакетов, линия подготовки катодных основ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Подъёмно-транспортное оборудование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Два специальных автоматических крана с траверсами и системой позиционирования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Циркуляция и реагенты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Циркуляционные баки, узлы приготовления и дозирования реагентов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Предложения и укрупнённые показатели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Контроль и автоматизация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Приборы контроля, комплекс технических средств системы управления, система милливольтового контроля, прикладное программное обеспечение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Материалы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Обвязка оборудования в границах лота, металлоконструкции обслуживания, полевые приборы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Укрупнённые показатели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укрупнённым показателям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Логистика и упаковка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Упаковка по ГОСТ 15846-2002 и перевозка серийных грузов объёмом около 3,3–3,4 тыс. т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Предложения и укрупнённые показатели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Услуги изготовителей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Шеф-монтаж и пусконаладочные работы в объёме поставки, обучение персонала, документация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Запасные части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Запасные части систем управления и контроля на два года эксплуатации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6.2 Итоговые строки сводки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Строка сводки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определения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оборудование по бюджетным предложениям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принятых значений по позициям формы раздела 6.3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позиции по укрупнённым показателям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по ценовой базе аналогичных поставок с приведением к дате уровня цен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материалы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Трубопроводы, металлоконструкции, изоляция и прочие материалы в границах поставки — по объёмам компоновочных решений и перечня трубопроводов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Логистика, упаковка и таможенные платежи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Разность значений DDP и EXW по позициям с предложениями; по остальным — расчёт по массам и объёмам поставки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Услуги изготовителей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Шеф-монтаж, пусконаладочные работы, обучение персонала, документация — по данным предложений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Запасные части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По комплектности предложений и требованию Приложения №5 к Техническому заданию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Стоимость комплектной поставки лота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строк выше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Резерв на неопределённость стадии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По перечню источников неопределённости раздела 2.3; согласовывается с Заказчиком; в цены предложений не входит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с резервом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двух строк выше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Дата уровня цен, валюта сведения и курсы пересчёта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Указываются в заголовке сводки; едины для всех строк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6.3 Сводка по закупочным позициям</w:t>
      </w:r>
    </w:p>
    <w:p>
      <w:r>
        <w:rPr>
          <w:sz w:val="20"/>
        </w:rPr>
        <w:t xml:space="preserve">Форма заполняется после получения предложений и служит основанием строки «Итого оборудование по бюджетным предложениям» сводки раздела 6.1.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200"/>
        <w:gridCol w:w="1400"/>
        <w:gridCol w:w="2100"/>
        <w:gridCol w:w="2654"/>
      </w:tblGrid>
      <w:tr>
        <w:trPr>
          <w:tblHeader/>
          <w:cantSplit/>
        </w:trPr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Получено предложений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Принятое значение стоимости</w:t>
            </w:r>
          </w:p>
        </w:tc>
        <w:tc>
          <w:tcPr>
            <w:tcW w:w="2654" w:type="dxa"/>
            <w:shd w:val="clear" w:fill="EFEFEF"/>
          </w:tcPr>
          <w:p>
            <w:r>
              <w:rPr>
                <w:b/>
                <w:sz w:val="15"/>
              </w:rPr>
              <w:t xml:space="preserve">Базис, валюта, дата уровня цен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Электролизные ванны полимербетонные, 180 шт.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Аноды из свинцового сплава, ≈15 300 шт.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Катодные матрицы нержавеющие, ≈15 120 шт.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Ошиновка ванн с двойным контактом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Роботизированная катодосдирочная машина, 120 матриц/ч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Специальные автоматические краны, 2 шт.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Линия подготовки катодных основ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Циркуляционные баки 2 × 300 м³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6.4 Порядок заполнения и представления</w:t>
      </w:r>
    </w:p>
    <w:p>
      <w:r>
        <w:rPr>
          <w:sz w:val="20"/>
        </w:rPr>
        <w:t xml:space="preserve">Сводка стоимости выпускается отдельным документом ревизии после получения предложений изготовителей. В настоящей ревизии приводятся только формы: включение в документ предварительных ценовых значений, не подтверждённых предложениями, не допускается — такие значения не соответствуют объявленному классу точности оценки и вводят в заблуждение при бюджетировании.</w:t>
      </w:r>
    </w:p>
    <w:p>
      <w:r>
        <w:rPr>
          <w:sz w:val="20"/>
        </w:rPr>
        <w:t xml:space="preserve">К сводке прилагаются: перечень адресатов запросов с датами отправки и получения ответов; копии предложений, принятых к оценке; обоснования по позициям, где число сопоставимых предложений меньше трёх; расчёт логистической составляющей; ведомость укрупнённых показателей с указанием источников ценовой базы и даты уровня цен.</w:t>
      </w:r>
    </w:p>
    <w:p>
      <w:pPr>
        <w:pStyle w:val="Heading1"/>
      </w:pPr>
      <w:r>
        <w:rPr>
          <w:b/>
          <w:sz w:val="28"/>
        </w:rPr>
        <w:t xml:space="preserve">7. Сроки стоимостного блока</w:t>
      </w:r>
    </w:p>
    <w:p>
      <w:pPr>
        <w:pStyle w:val="Heading2"/>
      </w:pPr>
      <w:r>
        <w:rPr>
          <w:b/>
          <w:sz w:val="24"/>
        </w:rPr>
        <w:t xml:space="preserve">7.1 Последовательность и сроки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200"/>
        <w:gridCol w:w="1900"/>
        <w:gridCol w:w="4254"/>
      </w:tblGrid>
      <w:tr>
        <w:trPr>
          <w:tblHeader/>
          <w:cantSplit/>
        </w:trPr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Шаг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Срок</w:t>
            </w:r>
          </w:p>
        </w:tc>
        <w:tc>
          <w:tcPr>
            <w:tcW w:w="4254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Согласование перечня основного оборудования, выносимого на бюджетные предложения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До рассылки запросов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Протокол с Заказчиком; перечень закрывает ориентировочно 70–80 % стоимости поставки лота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Согласование перечня адресатов запросов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До рассылки запросов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Комплекты запросов подготовлены; рассылка выполняется по решению Заказчика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Рассылка запросов и подтверждение получения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 решению Заказчика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Запрос носит бюджетный характер и не является офертой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Срок представления предложения изготовителем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 недели с даты получения запроса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Срок установлен формой запроса; продление фиксируется перепиской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Уточняющая переписка и приведение предложений к единому базису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После получения предложений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Срок определяется числом позиций и полнотой представленных данных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Предварительная оценка по укрупнённым показателям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Этап 1 (3 месяца)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Предложение Исполнителя по распределению стоимостного блока по этапам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Бюджетные предложения по основному оборудованию и итоговая бюджетная оценка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Этап 2 (суммарно не более 6 месяцев)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Предложение Исполнителя; в проекте этапности Заказчика стоимостной блок не назван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7.2 Увязка с этапностью выпуска Базового инжиниринга</w:t>
      </w:r>
    </w:p>
    <w:p>
      <w:r>
        <w:rPr>
          <w:sz w:val="20"/>
        </w:rPr>
        <w:t xml:space="preserve">Материалы Базового инжиниринга выдаются поэтапно — для начала разработки основных технических решений до завершения полного выпуска. Проект этапности передан Заказчиком 25.08.2026 вне официальной редакции Технического задания: Этап 1 — предварительный отчёт продолжительностью 3 месяца, Этап 2 — итоговый отчёт. Исполнитель предлагает зафиксировать срок Этапа 2 равным 3 месяцам, а общий срок выпуска — не более 6 месяцев.</w:t>
      </w:r>
    </w:p>
    <w:p>
      <w:r>
        <w:rPr>
          <w:sz w:val="20"/>
        </w:rPr>
        <w:t xml:space="preserve">Стоимостной блок в проекте этапности не назван. Предложение Исполнителя: предварительная оценка стоимости поставки по укрупнённым показателям выпускается в составе Этапа 1, бюджетные предложения по основному оборудованию и итоговая бюджетная оценка комплектной поставки — в составе Этапа 2. Такое распределение даёт Заказчику ориентировочную величину капитальных затрат уже через 3 месяца, не задерживая выпуск технической части.</w:t>
      </w:r>
    </w:p>
    <w:p>
      <w:r>
        <w:rPr>
          <w:color w:val="555555"/>
          <w:sz w:val="18"/>
        </w:rPr>
        <w:t xml:space="preserve">Юридический статус этапности подлежит закреплению в Техническом задании или договоре: проект этапности передан вне официальной редакции Технического задания.</w:t>
      </w:r>
    </w:p>
    <w:p>
      <w:pPr>
        <w:pStyle w:val="Heading2"/>
      </w:pPr>
      <w:r>
        <w:rPr>
          <w:b/>
          <w:sz w:val="24"/>
        </w:rPr>
        <w:t xml:space="preserve">7.3 Первоочередная контрактация</w:t>
      </w:r>
    </w:p>
    <w:p>
      <w:r>
        <w:rPr>
          <w:sz w:val="20"/>
        </w:rPr>
        <w:t xml:space="preserve">Первыми на запрос предложений выносятся позиции длительного цикла изготовления: электролизные ванны, катодосдирочная машина, специальные автоматические краны, парк анодов и катодных матриц. По ним предложения нужны не только для оценки стоимости, но и для подтверждения сроков изготовления: эти сроки определяют критический путь проекта и дату готовности комплекса. Исходные требования на оборудование длительного цикла изготовления выпускаются в первой очереди этапной выдачи Базового инжиниринга.</w:t>
      </w:r>
    </w:p>
    <w:p>
      <w:r>
        <w:rPr>
          <w:sz w:val="20"/>
        </w:rPr>
        <w:t xml:space="preserve">Состав и сроки по этим позициям приведены в документе ОВЭ75-БИ-Л3-ДЦ «Исходные требования на длинноцикловое оборудование».</w:t>
      </w:r>
    </w:p>
    <w:p>
      <w:pPr>
        <w:pStyle w:val="Heading1"/>
      </w:pPr>
      <w:r>
        <w:rPr>
          <w:b/>
          <w:sz w:val="28"/>
        </w:rPr>
        <w:t xml:space="preserve">8. Открытые позиции</w:t>
      </w:r>
    </w:p>
    <w:p>
      <w:r>
        <w:rPr>
          <w:sz w:val="20"/>
        </w:rPr>
        <w:t xml:space="preserve">В разделе перечислены вопросы стоимостной части, решения по которым принимаются на стадии Базового инжиниринга либо требуют решения Заказчика. До их закрытия итоговая сводка стоимости поставки не выпускается.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основного оборудования, выносимого на бюджетные предложения (ориентировочно 70–80 % стоимости поставки лота): закрепляется протоколом с Заказчиком тем же решением, что и перечень позиций под опросные листы. Перечень задаёт границу объёма стоимостной части.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адресатов запросов по каждой позиции и дата рассылки: решение Заказчика; до решения запросы изготовителям не направляются.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базис цен единых условий запросов — валюта сведения оценки, курсы пересчёта и дата уровня цен: согласовываются с Заказчиком до рассылки.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величина резерва на неопределённость стадии: определяется по перечню источников неопределённости и согласовывается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разнесение стоимости систем управления между лотами при единой диспетчерской комплекса: закрепляется протоколом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выпуск итоговой сводки стоимости поставки: отдельный шаг после получения предложений; сроки увязываются с этапностью выпуска Базового инжиниринга.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сроки изготовления по позициям лота: исходными данными не заданы, определяются по полученным предложениям; критический путь ожидается по электролизным ваннам и катодосдирочной машине.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задания на стыке по позициям, не включаемым в Базовый инжиниринг по пункту 6.3 Технического задания: состав и объём данных для учёта этих позиций в сводных капитальных затратах Заказчика.</w:t>
      </w:r>
    </w:p>
    <w:p>
      <w:r>
        <w:rPr>
          <w:color w:val="555555"/>
          <w:sz w:val="18"/>
        </w:rPr>
        <w:t xml:space="preserve">Стоимостные значения по позициям перечня раздела 3 определяются по технико-коммерческим предложениям изготовителей; до их получения ценовые графы форм разделов 5 и 6 не заполняются.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ОВЭ75-БИ-Л3-СТ · Стоимостной блок: порядок сбора ТКП и бюджетной оценки поставки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№3 «Отделение электроэкстракции»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ОВЭ75-БИ-Л3-СТ · Стоимостной блок: порядок сбора ТКП и бюджетной оценки поставки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