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Планы строительных конструкций и фундаментов с предварительными нагрузками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предварительных нагрузок, включая динамические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ОВЭ75-БИ-Л4-НГ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D-15, D-16.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№4 «Склад готовой продукции»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Нагрузки настоящего документа отнесены к размещению склада в существующем корпусе металлургического цеха (резервный сценарий): многопролётный корпус, пролёты 24 м (крановые 22 м), шаг колонн 6 м, длина корпуса около 186 м. В базовом сценарии нового строительства (ТЗ ред. 4.1 п. 1.3) полы и железнодорожный фронт проектируются заново — приведённые значения служат заданием на новый корпус склада.</w:t>
      </w:r>
    </w:p>
    <w:p>
      <w:r>
        <w:rPr>
          <w:color w:val="666666"/>
          <w:sz w:val="17"/>
        </w:rPr>
        <w:t xml:space="preserve">Источник: ТЗ на БИ ред. 4.1 (п. 1.3 — базис размещения, приложение №5 — весовое хозяйство); ИД ч.2 разд. 4.2.2 (существующий корпус и крановое хозяйство);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 — полезные нагрузки складирования, коэффициенты надёжности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 — расчёт на сосредоточенные и распределённые нагрузки, ровность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63.13330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Бетонные и железобетонные конструкции — новая плита пола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71.13330.2017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Изоляционные и отделочные покрытия — приёмка полов, контроль ровности двухметровой рейкой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справочно (виброфундаменты в лоте не требуются)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Климатические нагрузки на существующее здание не меняются. Для новых наружных элементов (навес автомобильного фронта) принимаются снеговая нагрузка V района 3,2 кПа и ветровая II района 0,30 кПа, сейсмическое воздействие — 6 баллов.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Складирование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Стопы пакетов катодной меди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адресного хранения, пол по грунту; линии стоп 1,0 × 1,0 м, проезды 3,5–4,0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—</w:t>
            </w:r>
          </w:p>
          <w:p>
            <w:r>
              <w:rPr>
                <w:sz w:val="14"/>
              </w:rPr>
              <w:t xml:space="preserve">Рабочая: 2,5 ± 0,05 на пакет (проверочный максимум 2,55)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Непосредственно на плиту пола через профилированные листы пакета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24,5 кПа на ярус; 2 яруса — 49,1 / 58,9 кПа; 3 яруса — 73,6 / 88,3 кПа (нормативная / расчётная)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Автопогрузчик-штабелёр фронтальный, г/п 5 т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Проезды и рабочие зоны склада, пол по грунту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8–11 полная масса (ориентировочно)</w:t>
            </w:r>
          </w:p>
          <w:p>
            <w:r>
              <w:rPr>
                <w:sz w:val="14"/>
              </w:rPr>
              <w:t xml:space="preserve">Рабочая: С пакетом 2,5 на вилах</w:t>
            </w:r>
          </w:p>
          <w:p>
            <w:r>
              <w:rPr>
                <w:color w:val="666666"/>
                <w:sz w:val="13"/>
              </w:rPr>
              <w:t xml:space="preserve">Источник: Оценка БИ; уточняется по ТКП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Колёсная нагрузка на плиту пола; суперэластичные шины, малое пятно контакта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Колесо ≈3,5–4,5 тс (до 80 % массы на переднюю ось при поднятом грузе)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Удары колеса на кромках деформационных швов;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Учёт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Вагонные весы на железнодорожном пути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Весовой участок пути в зоне железнодорожного фронта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Грузоприёмное устройство — по ТКП</w:t>
            </w:r>
          </w:p>
          <w:p>
            <w:r>
              <w:rPr>
                <w:sz w:val="14"/>
              </w:rPr>
              <w:t xml:space="preserve">Рабочая: Брутто полувагона ≈90–92 (груз 67,5 и тара 22–24, справочно)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прил. №5 к ТЗ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Отдельный фундамент на пути, изолированный от плиты пола; демаркация зоны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Осевые нагрузки 22,4–22,9 тс на ось — в пределах стандартной осевой сети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Проход и торможение состава; коэффициент не менее 1,2 (предварительно);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Автомобильные весы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Подъезд к воротам автомобильной отгрузки (вне здания либо в тамбуре)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</w:t>
            </w:r>
          </w:p>
          <w:p>
            <w:r>
              <w:rPr>
                <w:sz w:val="14"/>
              </w:rPr>
              <w:t xml:space="preserve">Рабочая: Брутто автопоезда — по типам подвижного состава</w:t>
            </w:r>
          </w:p>
          <w:p>
            <w:r>
              <w:rPr>
                <w:color w:val="666666"/>
                <w:sz w:val="13"/>
              </w:rPr>
              <w:t xml:space="preserve">Источник: Прил. №5 к ТЗ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 или приямок с пандусами, отбойниками и демаркацией зоны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наибольшей полной массе автопоезда, принимаемого к отгрузке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Наезд и торможение автопоезда; коэффициенты по требованиям изготовителя весов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Платформенные конвейерные весы, наибольший предел взвешивания 3 т (2 шт.)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приёмки пакетов от катодосдирочной машины,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≤3 монтажная единица</w:t>
            </w:r>
          </w:p>
          <w:p>
            <w:r>
              <w:rPr>
                <w:sz w:val="14"/>
              </w:rPr>
              <w:t xml:space="preserve">Рабочая: С пакетом 2,5 на грузоприёмном устройстве</w:t>
            </w:r>
          </w:p>
          <w:p>
            <w:r>
              <w:rPr>
                <w:color w:val="666666"/>
                <w:sz w:val="13"/>
              </w:rPr>
              <w:t xml:space="preserve">Источник: Прил. №5 к ТЗ;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Жёсткое основание в плите пола с разделительным швом от опор конвейера; приямки с электрообогревом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и пакет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Ударная нагрузка при передаче пакета; демпфирование по ТКП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Стенд сверления проб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приёмки и разбраковки,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≤3</w:t>
            </w:r>
          </w:p>
          <w:p>
            <w:r>
              <w:rPr>
                <w:sz w:val="14"/>
              </w:rPr>
              <w:t xml:space="preserve">Рабочая: С пакетом на стенде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Знакопеременные усилия малой амплитуды; крепление анкерами к плите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Приёмка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Конвейер приёмки пакетов от катодосдирочной машины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 передаточных ворот в зону приёмки,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Отправочная секция ≤3,2</w:t>
            </w:r>
          </w:p>
          <w:p>
            <w:r>
              <w:rPr>
                <w:sz w:val="14"/>
              </w:rPr>
              <w:t xml:space="preserve">Рабочая: С пакетами на трассе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закладные; отдельные фундаменты не требуются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трассы и пакетов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Привод цепной тихоходный; динамика покрывается коэффициентом надёжности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Мостовой кран с траверсой (вариант погрузки в полувагоны)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Подкрановые пути над железнодорожным фронтом; крановый пролёт 22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Мост и тележка — по ТКП</w:t>
            </w:r>
          </w:p>
          <w:p>
            <w:r>
              <w:rPr>
                <w:sz w:val="14"/>
              </w:rPr>
              <w:t xml:space="preserve">Рабочая: Грузоподъёмность не менее 3,2 с учётом траверсы</w:t>
            </w:r>
          </w:p>
          <w:p>
            <w:r>
              <w:rPr>
                <w:color w:val="666666"/>
                <w:sz w:val="13"/>
              </w:rPr>
              <w:t xml:space="preserve">Источник: ИД ч.2 разд. 4.2.2;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Подкрановые балки и колонны; для существующих путей — поверочный расчёт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Колёсные нагрузки — по ТКП крана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Вертикальные и горизонтальные крановые нагрузки;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Железнодорожный путь погрузочного фронта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Внутренний путь; фронт 4–6 полувагонов (60–90 м), прямой горизонтальный участок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—</w:t>
            </w:r>
          </w:p>
          <w:p>
            <w:r>
              <w:rPr>
                <w:sz w:val="14"/>
              </w:rPr>
              <w:t xml:space="preserve">Рабочая: Брутто полувагона ≈90–92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СП 37.13330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Верхнее строение пути на основании, изолированном от плиты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Осевые нагрузки 22,4–22,9 тс на ось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Транспортные динамические воздействия от прохода и маневровых перестановок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Упаковка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упаковки и маркировки,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ТЗ, раздел Лота №4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Маркировка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упаковки и маркировки,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ТЗ, раздел Лота №4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Нагрузки отнесены к размещению в существующем корпусе; в базовом сценарии нового строительства полы и железнодорожный фронт проектируются заново, и значения ведомости служат заданием на новый корпус.</w:t>
      </w:r>
    </w:p>
    <w:p>
      <w:r>
        <w:rPr>
          <w:sz w:val="20"/>
        </w:rPr>
        <w:t xml:space="preserve">2. Локальные давления под опорными рёбрами профилированных листов пакета выше средних и проверяются по фактической опорной площади; данные опорной площади поступают от поставщика катодосдирочной машины.</w:t>
      </w:r>
    </w:p>
    <w:p>
      <w:r>
        <w:rPr>
          <w:sz w:val="20"/>
        </w:rPr>
        <w:t xml:space="preserve">3. Зона хранения фундаментов не требует: нагрузки стоп и колёсные нагрузки штабелёров воспринимает плита пола. Толщина и армирование плиты определяются совместно штабельной и сосредоточенной колёсной нагрузками.</w:t>
      </w:r>
    </w:p>
    <w:p>
      <w:r>
        <w:rPr>
          <w:sz w:val="20"/>
        </w:rPr>
        <w:t xml:space="preserve">4. Машин с неуравновешенными вращающимися массами в лоте нет; специальные виброфундаменты по СП 26.13330 не требуются. Предварительные динамические нагрузки с запасом относятся к весовым, крановым и транспортным воздействиям.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зоны хранения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Плита пола зоны адресного хранения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50 кПа нормативная при двух ярусах (расчётная 58,9 кПа); при трёх ярусах 73,6 и 88,3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Нормативная нагрузка принимается по фактической схеме складирования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Расчёт КВАНТ; СП 20.13330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Сосредоточенная нагрузка от техники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Плита пола на маршрутах движения и в проездах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Колесо ≈3,5–4,5 тс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Определяет толщину и армирование плиты наравне со штабельной нагрузкой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БИ; СП 29.13330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Фундаменты весового оборудования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Весовые зоны железнодорожного и автомобильного фронтов, линия приёмки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Специальные фундаменты, защитные ограждения, пандусы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Фундаменты изолируются от плиты пола; зоны демаркируются и защищаются от наездов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наружные элементы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Навес автомобильного фронта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кПа, сейсмика 6 баллов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для новых наружных конструкций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Ворота, проезды, монтажная зона крана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Штабелёр 8–11 т заезжает своим ходом (ворота ≥3,5 м); балки моста крана длиной ≈22 м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Грузоподъёмные средства для штабелёра не требуются; кран монтируется до замыкания теплового контура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от стопы пакетов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24,5 кПа на ярус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Зона хранения, 2 яруса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49,1 кПа нормативная; 58,9 кПа расчётная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Зона хранения, 3 яруса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73,6 кПа нормативная; 88,3 кПа расчётная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Колёсная нагрузка штабелёра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≈3,5–4,5 тс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Осевая нагрузка гружёного полувагона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22,4–22,9 тс на ось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Брутто гружёного полувагона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90–92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Машин с неуравновешенными вращающимися массами в лоте нет, специальные виброфундаменты по СП 26.13330 не требуются. Предварительные динамические нагрузки относятся к весовым, крановым и транспортным воздействиям и приняты с запасом до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Железнодорожный подвижной состав на весовом участке</w:t>
            </w:r>
          </w:p>
          <w:p>
            <w:r>
              <w:rPr>
                <w:color w:val="666666"/>
                <w:sz w:val="13"/>
              </w:rPr>
              <w:t xml:space="preserve">4–6 полувагонов в подаче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Проход и торможение состава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Брутто вагона 90–92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Транспортная динамическая нагрузка на грузоприёмное устройство и фундамент весов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не менее 1,2 к статическим осевым нагрузкам (предварительно, с запасом); окончательно — по требованиям изготовителя весов</w:t>
            </w:r>
          </w:p>
          <w:p>
            <w:r>
              <w:rPr>
                <w:color w:val="666666"/>
                <w:sz w:val="13"/>
              </w:rPr>
              <w:t xml:space="preserve">Источник: Расчёт БИ;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Мостовой кран с траверсой</w:t>
            </w:r>
          </w:p>
          <w:p>
            <w:r>
              <w:rPr>
                <w:color w:val="666666"/>
                <w:sz w:val="13"/>
              </w:rPr>
              <w:t xml:space="preserve">1 шт. (вариант полувагонов)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 на подкрановые конструкции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Коэффициенты по СП 20.13330 от колёсных нагрузок крана по ТКП</w:t>
            </w:r>
          </w:p>
          <w:p>
            <w:r>
              <w:rPr>
                <w:color w:val="666666"/>
                <w:sz w:val="13"/>
              </w:rPr>
              <w:t xml:space="preserve">Источник: СП 20.13330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Автопогрузчики-штабелёры</w:t>
            </w:r>
          </w:p>
          <w:p>
            <w:r>
              <w:rPr>
                <w:color w:val="666666"/>
                <w:sz w:val="13"/>
              </w:rPr>
              <w:t xml:space="preserve">По расчёту числа машин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Движение и торможение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8–11 полная масса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Сосредоточенные колёсные нагрузки; удары на кромках деформационных швов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Швы в колее — с жёстким заполнением; расчёт плиты на сосредоточенную нагрузку по СП 29.13330</w:t>
            </w:r>
          </w:p>
          <w:p>
            <w:r>
              <w:rPr>
                <w:color w:val="666666"/>
                <w:sz w:val="13"/>
              </w:rPr>
              <w:t xml:space="preserve">Источник: Оценка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Автомобильный транспорт на весах</w:t>
            </w:r>
          </w:p>
          <w:p>
            <w:r>
              <w:rPr>
                <w:color w:val="666666"/>
                <w:sz w:val="13"/>
              </w:rPr>
              <w:t xml:space="preserve">По графику отгрузки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Наезд и торможение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Брутто автопоезда по заданию сбыта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Транспортная динамическая нагрузка на грузоприёмное устройство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Пандусы и отбойники; коэффициенты по требованиям изготовителя весов</w:t>
            </w:r>
          </w:p>
          <w:p>
            <w:r>
              <w:rPr>
                <w:color w:val="666666"/>
                <w:sz w:val="13"/>
              </w:rPr>
              <w:t xml:space="preserve">Источник: Прил. №5 к ТЗ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Конструкция пола</w:t>
      </w:r>
    </w:p>
    <w:p>
      <w:r>
        <w:rPr>
          <w:sz w:val="20"/>
        </w:rPr>
        <w:t xml:space="preserve">Пол — монолитная железобетонная плита по грунту с упрочнённым верхним слоем; при размещении в существующем корпусе выполняется обследование существующего пола, и при дефиците несущей способности устраивается новая плита. Толщина и армирование определяются совместно штабельной нагрузкой (до 58,9 кПа расчётной при двух ярусах) и сосредоточенной колёсной нагрузкой 3,5–4,5 тс.</w:t>
      </w:r>
    </w:p>
    <w:p>
      <w:r>
        <w:rPr>
          <w:b/>
          <w:sz w:val="21"/>
        </w:rPr>
        <w:t xml:space="preserve">Ровность и уклоны</w:t>
      </w:r>
    </w:p>
    <w:p>
      <w:r>
        <w:rPr>
          <w:sz w:val="20"/>
        </w:rPr>
        <w:t xml:space="preserve">Просвет под двухметровой контрольной рейкой — не более 4 мм (базовая норма приёмки бетонных покрытий полов). Для систем автоматического позиционирования поставщики штабелёров задают более жёсткие допуски плоскостности и локальных уклонов: финальный класс ровности принимается по ТКП выбранной модели и вносится в задание на полы. В зоне адресного хранения полы безуклонные — уклон смещает стопы и сбивает позиционирование; уклоны для стока предусматриваются только в весовых и фронтовых зонах.</w:t>
      </w:r>
    </w:p>
    <w:p>
      <w:r>
        <w:rPr>
          <w:b/>
          <w:sz w:val="21"/>
        </w:rPr>
        <w:t xml:space="preserve">Деформационные швы</w:t>
      </w:r>
    </w:p>
    <w:p>
      <w:r>
        <w:rPr>
          <w:sz w:val="20"/>
        </w:rPr>
        <w:t xml:space="preserve">Швы размещаются вне колеи основных проездов; попадающие в колею выполняются с жёстким заполнением — это защищает кромки шва и оси штабелёров от ударной нагрузки колеса 3,5–4,5 тс.</w:t>
      </w:r>
    </w:p>
    <w:p>
      <w:r>
        <w:rPr>
          <w:b/>
          <w:sz w:val="21"/>
        </w:rPr>
        <w:t xml:space="preserve">Весовые зоны и приямки</w:t>
      </w:r>
    </w:p>
    <w:p>
      <w:r>
        <w:rPr>
          <w:sz w:val="20"/>
        </w:rPr>
        <w:t xml:space="preserve">Фундаменты платформенных, вагонных и автомобильных весов — специальные, демаркированные, с защитой от наездов, пандусами и ограждением. Вагонные весы имеют собственный фундамент на пути, изолированный от плиты пола. Приямки платформенных весов — с электрообогревом; основание отделяется разделительным швом от опор конвейера.</w:t>
      </w:r>
    </w:p>
    <w:p>
      <w:r>
        <w:rPr>
          <w:b/>
          <w:sz w:val="21"/>
        </w:rPr>
        <w:t xml:space="preserve">Разметка и проёмы</w:t>
      </w:r>
    </w:p>
    <w:p>
      <w:r>
        <w:rPr>
          <w:sz w:val="20"/>
        </w:rPr>
        <w:t xml:space="preserve">Разметка адресных линий — износостойкая, машиночитаемая, с контрастными полосами и метками для систем позиционирования. Габарит проёмов ворот — не менее 3,5 м (заезд штабелёра своим ходом); габарит приближения строений железнодорожного ввода — по ГОСТ 9238-2013. Антистатическое исполнение покрытия не требуется: груз негорюч, категория помещения ожидаемо Д, что подтверждается расчётом.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существующего корпуса электрорафинирования — обследование (первый этап БИ)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катодосдирочной машины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Данные изготовителей весов (геометрия грузоприёмного устройства,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Наибольший предел взвешивания и длина автомобильных весов — по типам автопоездов (задание сбыта)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грузоприёмных устройств вагонных и автомобильных весов, требования изготовителей к жёсткости основания — по техническим предложениям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Фактическая грузоподъёмность и колёсные нагрузки мостового крана варианта погрузки в полувагоны — по техническому предложению изготовителя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ОВЭ75-БИ-Л4-НГ · Планы строительных конструкций и фундаментов с предварительными нагрузками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ОВЭ75-БИ-Л4-НГ · Планы строительных конструкций и фундаментов с предварительными нагрузками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