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  <w:sz w:val="28"/>
        </w:rPr>
        <w:t xml:space="preserve">1. Общие положения</w:t>
      </w:r>
    </w:p>
    <w:p>
      <w:pPr>
        <w:pStyle w:val="Heading2"/>
      </w:pPr>
      <w:r>
        <w:rPr>
          <w:b/>
          <w:sz w:val="24"/>
        </w:rPr>
        <w:t xml:space="preserve">1.1. Назначение и статус документа</w:t>
      </w:r>
    </w:p>
    <w:p>
      <w:r>
        <w:rPr>
          <w:sz w:val="20"/>
        </w:rPr>
        <w:t xml:space="preserve">Настоящий документ выпускается в составе документации Базового инжиниринга по Лоту №1 «Цех обжига» и соответствует пункту состава Базового инжиниринга «комплект исходных требований на поставляемое оборудование длительного цикла изготовления» по ТЗ на БИ ред. 4.1 от 25.08.2026. Документ устанавливает перечень позиций длительного цикла изготовления в границах Лота №1, исходные требования к каждой позиции, состав и сроки выдачи данных изготовителя, необходимых для выпуска разделов Базового инжиниринга, а также порядок и график запроса технико-коммерческих предложений.</w:t>
      </w:r>
    </w:p>
    <w:p>
      <w:r>
        <w:rPr>
          <w:sz w:val="20"/>
        </w:rPr>
        <w:t xml:space="preserve">Документ предназначен для включения в запросы технико-коммерческих предложений и в техническую часть договоров поставки. Требования настоящего документа являются исходными для изготовителей: изготовитель разрабатывает конструкторскую документацию, выполняет расчёты и отвечает за соответствие изделия заявленным параметрам; отступления оформляются листом отклонений в составе предложения и подлежат согласованию с Заказчиком и разработчиком Базового инжиниринга.</w:t>
      </w:r>
    </w:p>
    <w:p>
      <w:r>
        <w:rPr>
          <w:sz w:val="20"/>
        </w:rPr>
        <w:t xml:space="preserve">Документ применяется совместно с другими документами выпуска по лоту: ОВЭ75-БИ-Л1-СО — спецификация оборудования с техническими характеристиками; ОВЭ75-БИ-Л1-ОЛ — опросные листы основного оборудования; ОВЭ75-БИ-Л1-НО — спецификация нетипового оборудования с техническими требованиями; ОВЭ75-БИ-Л1-МТ — требования к монтажу, включая веса самых тяжёлых частей; ОВЭ75-БИ-Л1-СТ — стоимостной блок: порядок сбора предложений и бюджетной оценки поставки; ОВЭ75-БИ-Л1-ПЗ — пояснительная записка (технологические решения, балансы и режимы).</w:t>
      </w:r>
    </w:p>
    <w:p>
      <w:r>
        <w:rPr>
          <w:sz w:val="20"/>
        </w:rPr>
        <w:t xml:space="preserve">Настоящая ревизия выпускается до получения технико-коммерческих предложений. Приведённые сроки изготовления являются ориентировочными оценками и не являются обязательством изготовителя; они уточняются по предложениям и закрепляются договором поставки. Значения, отсутствующие в исходных данных, обозначены как определяемые на стадии Базового инжиниринга либо уточняемые по предложению изготовителя.</w:t>
      </w:r>
    </w:p>
    <w:p>
      <w:pPr>
        <w:pStyle w:val="Heading2"/>
      </w:pPr>
      <w:r>
        <w:rPr>
          <w:b/>
          <w:sz w:val="24"/>
        </w:rPr>
        <w:t xml:space="preserve">1.2. Основание и исходные данные</w:t>
      </w:r>
    </w:p>
    <w:p>
      <w:r>
        <w:rPr>
          <w:sz w:val="20"/>
        </w:rPr>
        <w:t xml:space="preserve">— Техническое задание на выполнение Базового инжиниринга, ред. 4.1 от 25.08.2026, с приложениями (в том числе Приложение №5 — требования к автоматизации, измерениям и импортозамещению).</w:t>
      </w:r>
    </w:p>
    <w:p>
      <w:r>
        <w:rPr>
          <w:sz w:val="20"/>
        </w:rPr>
        <w:t xml:space="preserve">— Исходные данные Заказчика: ИД ч.1 (табл. 22–26, разд. 2.3–2.5, разд. 6); ТЗ на БИ ред. 4.1 от 25.08.2026 — границы проектирования Лота №1 (п. 3.3), состав оборудования (п. 3.4) и стоимость поставки (п. 3.6).</w:t>
      </w:r>
    </w:p>
    <w:p>
      <w:r>
        <w:rPr>
          <w:sz w:val="20"/>
        </w:rPr>
        <w:t xml:space="preserve">— База решений Базового инжиниринга по Лоту №1: перечень оборудования, компоновочные решения, нагрузки на конструкции и фундаменты, требования к монтажу, требования к испытаниям и приёмке, порядок формирования стоимости поставки.</w:t>
      </w:r>
    </w:p>
    <w:p>
      <w:r>
        <w:rPr>
          <w:sz w:val="20"/>
        </w:rPr>
        <w:t xml:space="preserve">— Расчётная модель КВАНТ: независимый пересчёт балансов, режимов и нагрузок.</w:t>
      </w:r>
    </w:p>
    <w:p>
      <w:r>
        <w:rPr>
          <w:sz w:val="20"/>
        </w:rPr>
        <w:t xml:space="preserve">— Проект этапности выдачи материалов Базового инжиниринга от 25.08.2026 (Этап 1 — предварительный отчёт, Этап 2 — итоговый отчёт); юридический статус этапности закрепляется договором.</w:t>
      </w:r>
    </w:p>
    <w:p>
      <w:pPr>
        <w:pStyle w:val="Heading2"/>
      </w:pPr>
      <w:r>
        <w:rPr>
          <w:b/>
          <w:sz w:val="24"/>
        </w:rPr>
        <w:t xml:space="preserve">1.3. Критерии отнесения оборудования к длинноцикловому</w:t>
      </w:r>
    </w:p>
    <w:p>
      <w:r>
        <w:rPr>
          <w:sz w:val="20"/>
        </w:rPr>
        <w:t xml:space="preserve">К оборудованию длительного цикла изготовления отнесены позиции, отвечающие хотя бы одному из критериев:</w:t>
      </w:r>
    </w:p>
    <w:p>
      <w:r>
        <w:rPr>
          <w:sz w:val="20"/>
        </w:rPr>
        <w:t xml:space="preserve">— срок разработки конструкторской документации, изготовления и поставки превышает 6–8 месяцев и сопоставим с продолжительностью проектирования и строительства;</w:t>
      </w:r>
    </w:p>
    <w:p>
      <w:r>
        <w:rPr>
          <w:sz w:val="20"/>
        </w:rPr>
        <w:t xml:space="preserve">— изделие изготавливается по индивидуальной конструкторской документации под параметры настоящего проекта, а не поставляется из серийного каталога;</w:t>
      </w:r>
    </w:p>
    <w:p>
      <w:r>
        <w:rPr>
          <w:sz w:val="20"/>
        </w:rPr>
        <w:t xml:space="preserve">— изделие крупногабаритное или транспортно негабаритное, требует членения на поставочные блоки и укрупнительной сборки на площадке;</w:t>
      </w:r>
    </w:p>
    <w:p>
      <w:r>
        <w:rPr>
          <w:sz w:val="20"/>
        </w:rPr>
        <w:t xml:space="preserve">— изготовление лимитируется поставкой материалов ограниченного обращения, изготовлением оснастки либо длинной цепочкой комплектации покупными изделиями;</w:t>
      </w:r>
    </w:p>
    <w:p>
      <w:r>
        <w:rPr>
          <w:sz w:val="20"/>
        </w:rPr>
        <w:t xml:space="preserve">— изделие поставляется большими партиями, темп поставки которых определяет темп монтажа;</w:t>
      </w:r>
    </w:p>
    <w:p>
      <w:r>
        <w:rPr>
          <w:sz w:val="20"/>
        </w:rPr>
        <w:t xml:space="preserve">— данные изготовителя (габариты, массы, нагрузки, подключения) являются исходными для разделов Базового инжиниринга и смежных разделов и без них разделы не выпускаются.</w:t>
      </w:r>
    </w:p>
    <w:p>
      <w:r>
        <w:rPr>
          <w:sz w:val="20"/>
        </w:rPr>
        <w:t xml:space="preserve">Перечень оборудования лота проверен по указанным критериям с учётом статуса поставки (закуп серийного изделия, изготовление по документации, перепроектирование существующего решения). Результат проверки — 8 позиций основного перечня, приведённые в разделе 2. Позиции, по которым срок изготовления в исходных данных не задан и подлежит проверке по предложениям изготовителей, выделены отдельным подразделом.</w:t>
      </w:r>
    </w:p>
    <w:p>
      <w:pPr>
        <w:pStyle w:val="Heading2"/>
      </w:pPr>
      <w:r>
        <w:rPr>
          <w:b/>
          <w:sz w:val="24"/>
        </w:rPr>
        <w:t xml:space="preserve">1.4. Место позиций длительного цикла в графике проекта</w:t>
      </w:r>
    </w:p>
    <w:p>
      <w:r>
        <w:rPr>
          <w:sz w:val="20"/>
        </w:rPr>
        <w:t xml:space="preserve">Позиции длительного цикла изготовления определяют критический путь графика реализации: контроль изготовления и приёмка этих позиций выполняются на этапе закупки и поставки оборудования, следующем за Базовым инжинирингом, а срок их поставки ограничивает начало монтажа. По этой причине исходные требования на длинноцикловое оборудование выдаются в первой очереди поэтапной выдачи материалов Базового инжиниринга — до полного выпуска проекта, что позволяет Заказчику начать контрактацию этих позиций заранее.</w:t>
      </w:r>
    </w:p>
    <w:p>
      <w:r>
        <w:rPr>
          <w:color w:val="666666"/>
          <w:sz w:val="17"/>
        </w:rPr>
        <w:t xml:space="preserve">Источник: ТЗ на БИ ред. 4.1, раздел «Прочие условия» (поэтапная выдача материалов); проект этапности от 25.08.2026; перечень этапов реализации проекта</w:t>
      </w:r>
    </w:p>
    <w:p>
      <w:pPr>
        <w:pStyle w:val="Heading1"/>
      </w:pPr>
      <w:r>
        <w:rPr>
          <w:b/>
          <w:sz w:val="28"/>
        </w:rPr>
        <w:t xml:space="preserve">2. Перечень оборудования длительного цикла изготовления</w:t>
      </w:r>
    </w:p>
    <w:p>
      <w:pPr>
        <w:pStyle w:val="Heading2"/>
      </w:pPr>
      <w:r>
        <w:rPr>
          <w:b/>
          <w:sz w:val="24"/>
        </w:rPr>
        <w:t xml:space="preserve">2.1. Сводный перечень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900"/>
        <w:gridCol w:w="2900"/>
        <w:gridCol w:w="1000"/>
        <w:gridCol w:w="2500"/>
        <w:gridCol w:w="2054"/>
      </w:tblGrid>
      <w:tr>
        <w:tc>
          <w:tcPr>
            <w:tcW w:w="900" w:type="dxa"/>
            <w:shd w:val="clear" w:fill="EFEFEF"/>
          </w:tcPr>
          <w:p>
            <w:r>
              <w:rPr>
                <w:b/>
                <w:sz w:val="18"/>
              </w:rPr>
              <w:t xml:space="preserve">Обозн.</w:t>
            </w:r>
          </w:p>
        </w:tc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Наименование позиции</w:t>
            </w:r>
          </w:p>
        </w:tc>
        <w:tc>
          <w:tcPr>
            <w:tcW w:w="1000" w:type="dxa"/>
            <w:shd w:val="clear" w:fill="EFEFEF"/>
          </w:tcPr>
          <w:p>
            <w:r>
              <w:rPr>
                <w:b/>
                <w:sz w:val="18"/>
              </w:rPr>
              <w:t xml:space="preserve">Кол-во</w:t>
            </w:r>
          </w:p>
        </w:tc>
        <w:tc>
          <w:tcPr>
            <w:tcW w:w="2500" w:type="dxa"/>
            <w:shd w:val="clear" w:fill="EFEFEF"/>
          </w:tcPr>
          <w:p>
            <w:r>
              <w:rPr>
                <w:b/>
                <w:sz w:val="18"/>
              </w:rPr>
              <w:t xml:space="preserve">Определяющий фактор цикла</w:t>
            </w:r>
          </w:p>
        </w:tc>
        <w:tc>
          <w:tcPr>
            <w:tcW w:w="2054" w:type="dxa"/>
            <w:shd w:val="clear" w:fill="EFEFEF"/>
          </w:tcPr>
          <w:p>
            <w:r>
              <w:rPr>
                <w:b/>
                <w:sz w:val="18"/>
              </w:rPr>
              <w:t xml:space="preserve">Ориентировочный цикл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ДЦ-1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Печь кипящего слоя с футеровкой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Индивидуальная конструкторская документация; негабаритный корпус; футеровка и её сушка на площадке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ДЦ-2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Котёл-утилизатор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Перепроектирование под параметры проекта; оборудование под давлением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12–16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ДЦ-3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Сухие электрофильтры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Крупногабаритный корпус секциями; изготовление блоков электродов и агрегатов питания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10–14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ДЦ-4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Дымососы газового тракта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под параметры тракта; комплектация электроприводом 6 кВ и преобразователем частоты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ДЦ-5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Воздуходувка дутьевая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Индивидуальный подбор машины под два режима дутья; изготовление под заказ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8–12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ДЦ-6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Шнековые холодильники огарка и пыли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Позиция импортной поставки; проработка аналогов требует задания на изготовление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ДЦ-7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Силосные башни огарка и тонкой пыли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2 шт.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Индивидуальное изготовление; транспортный негабарит обечайки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  <w:tr>
        <w:tc>
          <w:tcPr>
            <w:tcW w:w="900" w:type="dxa"/>
          </w:tcPr>
          <w:p>
            <w:r>
              <w:rPr>
                <w:sz w:val="18"/>
              </w:rPr>
              <w:t xml:space="preserve">ДЦ-8</w:t>
            </w:r>
          </w:p>
        </w:tc>
        <w:tc>
          <w:tcPr>
            <w:tcW w:w="2900" w:type="dxa"/>
          </w:tcPr>
          <w:p>
            <w:r>
              <w:rPr>
                <w:sz w:val="18"/>
              </w:rPr>
              <w:t xml:space="preserve">Электротехническое оборудование длительного цикла</w:t>
            </w:r>
          </w:p>
        </w:tc>
        <w:tc>
          <w:tcPr>
            <w:tcW w:w="1000" w:type="dxa"/>
          </w:tcPr>
          <w:p>
            <w:r>
              <w:rPr>
                <w:sz w:val="18"/>
              </w:rPr>
              <w:t xml:space="preserve">1 комплект</w:t>
            </w:r>
          </w:p>
        </w:tc>
        <w:tc>
          <w:tcPr>
            <w:tcW w:w="2500" w:type="dxa"/>
          </w:tcPr>
          <w:p>
            <w:r>
              <w:rPr>
                <w:sz w:val="18"/>
              </w:rPr>
              <w:t xml:space="preserve">Изготовление под заказ высоковольтного оборудования; требование производства РФ</w:t>
            </w:r>
          </w:p>
        </w:tc>
        <w:tc>
          <w:tcPr>
            <w:tcW w:w="2054" w:type="dxa"/>
          </w:tcPr>
          <w:p>
            <w:r>
              <w:rPr>
                <w:sz w:val="18"/>
              </w:rPr>
              <w:t xml:space="preserve">не менее 6–8 мес</w:t>
            </w:r>
          </w:p>
        </w:tc>
      </w:tr>
    </w:tbl>
    <w:p>
      <w:r>
        <w:rPr>
          <w:i/>
          <w:color w:val="555555"/>
          <w:sz w:val="18"/>
        </w:rPr>
        <w:t xml:space="preserve">Сроки в графе «Ориентировочный цикл» — оценка Исполнителя и типовые ориентиры для изделий данного класса; в исходных данных Заказчика сроки изготовления не заданы. Значения подлежат письменному подтверждению в технико-коммерческих предложениях и не являются обязательством изготовителя.</w:t>
      </w:r>
    </w:p>
    <w:p>
      <w:pPr>
        <w:pStyle w:val="Heading2"/>
      </w:pPr>
      <w:r>
        <w:rPr>
          <w:b/>
          <w:sz w:val="24"/>
        </w:rPr>
        <w:t xml:space="preserve">2.2. Позиции, цикл изготовления которых подлежит проверке по предложениям</w:t>
      </w:r>
    </w:p>
    <w:p>
      <w:r>
        <w:rPr>
          <w:sz w:val="20"/>
        </w:rPr>
        <w:t xml:space="preserve">Позиции ниже отнесены к основному перечню оборудования лота, но срок их изготовления исходными данными не определён. При подтверждении цикла свыше 6–8 месяцев позиция включается в перечень раздела 2.1 при следующей ревизии настоящего документа.</w:t>
      </w:r>
    </w:p>
    <w:p>
      <w:r>
        <w:rPr>
          <w:sz w:val="20"/>
        </w:rPr>
        <w:t xml:space="preserve">— барабанные вакуум-фильтры пульпы медного концентрата с вакуум-станцией — 2 × 32 м² с резервированием 2 × 100 % по площади фильтрации; количество и типоразмер уточняются на стадии Базового инжиниринга, цикл изготовления — по предложениям;</w:t>
      </w:r>
    </w:p>
    <w:p>
      <w:r>
        <w:rPr>
          <w:sz w:val="20"/>
        </w:rPr>
        <w:t xml:space="preserve">— рукавные фильтры аспирации и дымососы аспирации — количество и характеристики определяются расчётом аспирации на стадии Базового инжиниринга; гарантируемая остаточная запылённость не более 10 мг/нм³;</w:t>
      </w:r>
    </w:p>
    <w:p>
      <w:r>
        <w:rPr>
          <w:sz w:val="20"/>
        </w:rPr>
        <w:t xml:space="preserve">— мостовой кран пролёта печи и котла-утилизатора — грузоподъёмность предварительно 20/5 т, назначается после подтверждения массы барабана котла; кран вводится в работу на раннем этапе и используется как монтажный механизм;</w:t>
      </w:r>
    </w:p>
    <w:p>
      <w:r>
        <w:rPr>
          <w:sz w:val="20"/>
        </w:rPr>
        <w:t xml:space="preserve">— топка-смеситель дутья вспомогательного варианта обжига — изготавливается по индивидуальной документации; тепловая мощность топки-смесителя 5,22 МВт.</w:t>
      </w:r>
    </w:p>
    <w:p>
      <w:pPr>
        <w:pStyle w:val="Heading1"/>
      </w:pPr>
      <w:r>
        <w:rPr>
          <w:b/>
          <w:sz w:val="28"/>
        </w:rPr>
        <w:t xml:space="preserve">3. Общие требования к позициям длительного цикла</w:t>
      </w:r>
    </w:p>
    <w:p>
      <w:pPr>
        <w:pStyle w:val="Heading2"/>
      </w:pPr>
      <w:r>
        <w:rPr>
          <w:b/>
          <w:sz w:val="24"/>
        </w:rPr>
        <w:t xml:space="preserve">3.1. Условия эксплуатации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Площадка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Промышленная площадка АО «Кольская ГМК», г. Мончегорск Мурманской области; строительно-климатическая зона IIА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330 дней/год, 7920 ч, круглосуточно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ТЗ, раздел Лота №1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температура наружного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наиболее холодных суток −40 °C; наиболее холодной пятидневки −34 °C (обеспеченность 0,98)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Снеговая нагрузка / ветровое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3,2 кПа (V район) / 0,30 кПа (II район)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2.9.3–2.9.4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Сейсмичность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 баллов по ОСР-2015-В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2.9.5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Климатическое исполнение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УХЛ4 — оборудование в отапливаемых помещениях; УХЛ1 — наружные установки (силосные башни, наружные газоходы)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ГОСТ 15150-69; решение БИ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3.2. Нормативная база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000"/>
        <w:gridCol w:w="6354"/>
      </w:tblGrid>
      <w:tr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Документ</w:t>
            </w:r>
          </w:p>
        </w:tc>
        <w:tc>
          <w:tcPr>
            <w:tcW w:w="6354" w:type="dxa"/>
            <w:shd w:val="clear" w:fill="EFEFEF"/>
          </w:tcPr>
          <w:p>
            <w:r>
              <w:rPr>
                <w:b/>
                <w:sz w:val="18"/>
              </w:rPr>
              <w:t xml:space="preserve">Область применения к позициям настоящего документа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21.110-2013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Спецификация оборудования, изделий и материалов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15150-69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Климатические исполнения и категории размещения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15846-2002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Упаковка, маркировка и транспортирование в районы Крайнего Севера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ТР ТС 010/2011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Безопасность машин и оборудования — оценка соответствия поставляемых изделий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24444-87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технологическое. Требования монтажной технологичности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26.13330.2012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Фундаменты машин с динамическими нагрузками — исходные данные изготовителя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СП 75.13330.2011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Технологическое оборудование и трубопроводы: производство и приёмка монтажных работ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461 от 26.11.2020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Подъёмные сооружения: такелажные операции, освидетельствование кранов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536 от 15.12.2020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Оборудование под давлением: изготовление, монтаж, испытания, регистрация котла-утилизатора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ФНП № 512 от 09.12.2020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Пуск, розжиг и газоопасные операции печного комплекса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15.005-86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Создание изделий единичного и мелкосерийного производства (применимость уточняется с Заказчиком)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Р 50820-95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Методы определения запылённости газопылевых потоков — гарантийные замеры</w:t>
            </w:r>
          </w:p>
        </w:tc>
      </w:tr>
      <w:tr>
        <w:tc>
          <w:tcPr>
            <w:tcW w:w="3000" w:type="dxa"/>
          </w:tcPr>
          <w:p>
            <w:r>
              <w:rPr>
                <w:sz w:val="18"/>
              </w:rPr>
              <w:t xml:space="preserve">ГОСТ ИСО 21940-11</w:t>
            </w:r>
          </w:p>
        </w:tc>
        <w:tc>
          <w:tcPr>
            <w:tcW w:w="6354" w:type="dxa"/>
          </w:tcPr>
          <w:p>
            <w:r>
              <w:rPr>
                <w:sz w:val="18"/>
              </w:rPr>
              <w:t xml:space="preserve">Классы точности балансировки роторов (в опросных листах задан G6.3)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3.3. Материалы и подтверждение материального исполнения</w:t>
      </w:r>
    </w:p>
    <w:p>
      <w:r>
        <w:rPr>
          <w:sz w:val="20"/>
        </w:rPr>
        <w:t xml:space="preserve">Материальное исполнение принимается по исходным данным Заказчика: корпус печи — углеродистая сталь с шамотной футеровкой, подина — жаропрочная сталь и жаростойкий бетон, сопла подины — сплав ХН78Т; котёл-утилизатор — углеродистая сталь; циклон, электрофильтры и дымососы — сталь 12Х18Н10Т; газоходы — сталь 09Г2С с футеровкой лёгким шамотом ШЛ-0,4; шнековые холодильники — сталь 316; бункеры и силосные башни — углеродистая сталь с футеровкой полиэтиленом PE500. В исходных данных написание марки стали газоочистного оборудования не единообразно; при запросе предложений применяется нормализованное написание 12Х18Н10Т. Замена материала изготовителем без согласования не допускается.</w:t>
      </w:r>
    </w:p>
    <w:p>
      <w:pPr>
        <w:pStyle w:val="Heading2"/>
      </w:pPr>
      <w:r>
        <w:rPr>
          <w:b/>
          <w:sz w:val="24"/>
        </w:rPr>
        <w:t xml:space="preserve">3.4. Данные изготовителя, необходимые для выпуска Базового инжиниринга</w:t>
      </w:r>
    </w:p>
    <w:p>
      <w:r>
        <w:rPr>
          <w:sz w:val="20"/>
        </w:rPr>
        <w:t xml:space="preserve">Разделы Базового инжиниринга, содержащие нагрузки на строительные конструкции и фундаменты, требования к монтажу, сведения по электроснабжению и данные для смежных разделов, выпускаются на данных изготовителей. Ниже приведены состав этих данных, раздел-потребитель и предельный срок получения. Т0 — дата начала работ по Базовому инжинирингу; сроки увязаны с проектом этапности (Этап 1 — 3 месяца от начала работ, Этап 2 — 3 месяца после завершения Этапа 1) и являются предложением Исполнителя, закрепляемым договором и графиком выдачи.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800"/>
        <w:gridCol w:w="3000"/>
        <w:gridCol w:w="2554"/>
      </w:tblGrid>
      <w:tr>
        <w:tc>
          <w:tcPr>
            <w:tcW w:w="3800" w:type="dxa"/>
            <w:shd w:val="clear" w:fill="EFEFEF"/>
          </w:tcPr>
          <w:p>
            <w:r>
              <w:rPr>
                <w:b/>
                <w:sz w:val="18"/>
              </w:rPr>
              <w:t xml:space="preserve">Данные изготовителя</w:t>
            </w:r>
          </w:p>
        </w:tc>
        <w:tc>
          <w:tcPr>
            <w:tcW w:w="3000" w:type="dxa"/>
            <w:shd w:val="clear" w:fill="EFEFEF"/>
          </w:tcPr>
          <w:p>
            <w:r>
              <w:rPr>
                <w:b/>
                <w:sz w:val="18"/>
              </w:rPr>
              <w:t xml:space="preserve">Раздел — потребитель данных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выдачи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Чертёж общего вида с габаритными, присоединительными и установочными размерами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Компоновочные решения; технологические схемы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Масса изделия порожнего, в рабочем состоянии и при испытании; положение центра тяжести; схемы строповки; членение на транспортабельные и монтажные блоки с массами и габаритами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планы конструкций; логистика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Строительное задание: нагрузки на опоры и фундаменты (порожнее, рабочее и аварийное состояние, испытание) с разложением по осям и коэффициентами надёжности и динамичности; для машин — частоты вынуждающих сил, остаточный дисбаланс и класс балансировки ротора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Планы строительных конструкций и фундаментов; фундаменты машин с динамическими нагрузками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Потребление энергоресурсов: установленная и потребляемая мощность, напряжение, пусковые токи, категория надёжности; расходы воды, пара, сжатого воздуха и требования к их качеству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Электроснабжение; подключение к сетям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Тепловыделения от поверхностей оборудования и выделения вредностей в помещения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Данные для смежных разделов (отопление и вентиляция)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Перечень сигналов, объём телеметрии и карта регистров цифрового интерфейса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Автоматизация; схема комплекса технических средств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Срок разработки конструкторской документации, изготовления и поставки; график поставки партиями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Настоящий документ; график закупки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В составе предложения — Т0 + 2,5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Требования к монтажу и шеф-монтажу, состав запасных частей и принадлежностей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Требования к монтажу; стоимость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+ 4,0 мес</w:t>
            </w:r>
          </w:p>
        </w:tc>
      </w:tr>
      <w:tr>
        <w:tc>
          <w:tcPr>
            <w:tcW w:w="3800" w:type="dxa"/>
          </w:tcPr>
          <w:p>
            <w:r>
              <w:rPr>
                <w:sz w:val="18"/>
              </w:rPr>
              <w:t xml:space="preserve">Трёхмерная геометрическая модель изделия</w:t>
            </w:r>
          </w:p>
        </w:tc>
        <w:tc>
          <w:tcPr>
            <w:tcW w:w="3000" w:type="dxa"/>
          </w:tcPr>
          <w:p>
            <w:r>
              <w:rPr>
                <w:sz w:val="18"/>
              </w:rPr>
              <w:t xml:space="preserve">Цифровая информационная модель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+ 4,5 мес (по плану информационного моделирования)</w:t>
            </w:r>
          </w:p>
        </w:tc>
      </w:tr>
    </w:tbl>
    <w:p>
      <w:r>
        <w:rPr>
          <w:sz w:val="20"/>
        </w:rPr>
        <w:t xml:space="preserve">Данные, не полученные в указанные сроки, замещаются в соответствующих разделах предварительными оценками с прямым указанием на замещение; такие разделы подлежат переизданию после получения данных изготовителя.</w:t>
      </w:r>
    </w:p>
    <w:p>
      <w:r>
        <w:rPr>
          <w:color w:val="666666"/>
          <w:sz w:val="17"/>
        </w:rPr>
        <w:t xml:space="preserve">Источник: Проект этапности выдачи материалов БИ от 25.08.2026; разделы БИ «Планы конструкций и фундаментов», «Требования к монтажу», «Электроснабжение»</w:t>
      </w:r>
    </w:p>
    <w:p>
      <w:pPr>
        <w:pStyle w:val="Heading2"/>
      </w:pPr>
      <w:r>
        <w:rPr>
          <w:b/>
          <w:sz w:val="24"/>
        </w:rPr>
        <w:t xml:space="preserve">3.5. Документация изготовителя</w:t>
      </w:r>
    </w:p>
    <w:p>
      <w:r>
        <w:rPr>
          <w:sz w:val="20"/>
        </w:rPr>
        <w:t xml:space="preserve">В составе технической части предложения и далее в составе поставки изготовитель представляет:</w:t>
      </w:r>
    </w:p>
    <w:p>
      <w:r>
        <w:rPr>
          <w:sz w:val="20"/>
        </w:rPr>
        <w:t xml:space="preserve">— чертёж общего вида с габаритами, патрубками, массами и положением центра тяжести; сборочные чертежи и спецификации;</w:t>
      </w:r>
    </w:p>
    <w:p>
      <w:r>
        <w:rPr>
          <w:sz w:val="20"/>
        </w:rPr>
        <w:t xml:space="preserve">— расчёты на прочность, тепловые, гидравлические и аэродинамические расчёты в объёме, подтверждающем заявленные параметры;</w:t>
      </w:r>
    </w:p>
    <w:p>
      <w:r>
        <w:rPr>
          <w:sz w:val="20"/>
        </w:rPr>
        <w:t xml:space="preserve">— паспорт изделия и документы оценки соответствия; сертификаты на материалы; журналы сварочных работ и протоколы контроля;</w:t>
      </w:r>
    </w:p>
    <w:p>
      <w:r>
        <w:rPr>
          <w:sz w:val="20"/>
        </w:rPr>
        <w:t xml:space="preserve">— руководство по эксплуатации, регламенты пуска, остановки и аварийных режимов; ведомость запасных частей на период пусконаладки и на два года эксплуатации;</w:t>
      </w:r>
    </w:p>
    <w:p>
      <w:r>
        <w:rPr>
          <w:sz w:val="20"/>
        </w:rPr>
        <w:t xml:space="preserve">— ведомость монтажных блоков с массами, размерами, схемами строповки и отметками установки; задание на фундаменты и опорные конструкции с нагрузками, включая динамические;</w:t>
      </w:r>
    </w:p>
    <w:p>
      <w:r>
        <w:rPr>
          <w:sz w:val="20"/>
        </w:rPr>
        <w:t xml:space="preserve">— перечень сигналов и карту регистров цифрового интерфейса для приводов и агрегатов;</w:t>
      </w:r>
    </w:p>
    <w:p>
      <w:r>
        <w:rPr>
          <w:sz w:val="20"/>
        </w:rPr>
        <w:t xml:space="preserve">— трёхмерную геометрическую модель изделия для цифровой информационной модели — формат и уровень проработки по плану информационного моделирования.</w:t>
      </w:r>
    </w:p>
    <w:p>
      <w:pPr>
        <w:pStyle w:val="Heading2"/>
      </w:pPr>
      <w:r>
        <w:rPr>
          <w:b/>
          <w:sz w:val="24"/>
        </w:rPr>
        <w:t xml:space="preserve">3.6. Изготовление, контроль и приёмка</w:t>
      </w:r>
    </w:p>
    <w:p>
      <w:r>
        <w:rPr>
          <w:sz w:val="20"/>
        </w:rPr>
        <w:t xml:space="preserve">— план контроля качества изготовителя с точками контроля Заказчика (уведомительными и с обязательным присутствием) согласуется до начала изготовления;</w:t>
      </w:r>
    </w:p>
    <w:p>
      <w:r>
        <w:rPr>
          <w:sz w:val="20"/>
        </w:rPr>
        <w:t xml:space="preserve">— контроль сварных соединений: визуально-измерительный в объёме 100 % и неразрушающий в объёме, установленном конструкторской документацией и планом контроля; для элементов под давлением — в объёме федеральных норм и правил;</w:t>
      </w:r>
    </w:p>
    <w:p>
      <w:r>
        <w:rPr>
          <w:sz w:val="20"/>
        </w:rPr>
        <w:t xml:space="preserve">— контрольная сборка на заводе для изделий, поставляемых блоками, с проверкой геометрии и присоединительных размеров; протокол контрольной сборки входит в приёмочную документацию;</w:t>
      </w:r>
    </w:p>
    <w:p>
      <w:r>
        <w:rPr>
          <w:sz w:val="20"/>
        </w:rPr>
        <w:t xml:space="preserve">— приёмо-сдаточные испытания на заводе — по программе и методике изготовителя, согласованной с Заказчиком; окончательная приёмка — по результатам испытаний на площадке;</w:t>
      </w:r>
    </w:p>
    <w:p>
      <w:r>
        <w:rPr>
          <w:sz w:val="20"/>
        </w:rPr>
        <w:t xml:space="preserve">— средства измерений в составе поставки — внесённые в Государственный реестр средств измерений Российской Федерации, с первичной поверкой.</w:t>
      </w:r>
    </w:p>
    <w:p>
      <w:pPr>
        <w:pStyle w:val="Heading2"/>
      </w:pPr>
      <w:r>
        <w:rPr>
          <w:b/>
          <w:sz w:val="24"/>
        </w:rPr>
        <w:t xml:space="preserve">3.7. Шеф-монтаж, пусконаладка и запасные части</w:t>
      </w:r>
    </w:p>
    <w:p>
      <w:r>
        <w:rPr>
          <w:sz w:val="20"/>
        </w:rPr>
        <w:t xml:space="preserve">— шеф-монтаж, шеф-наладка, участие в индивидуальных и комплексных испытаниях и обучение персонала Заказчика входят в объём поставки и указываются в предложении отдельными позициями с объёмом в нормо-часах и условиями пребывания специалистов;</w:t>
      </w:r>
    </w:p>
    <w:p>
      <w:r>
        <w:rPr>
          <w:sz w:val="20"/>
        </w:rPr>
        <w:t xml:space="preserve">— запасные части и принадлежности — на период пусконаладки и на два года эксплуатации; для средств автоматизации и измерений — не менее 10 % и не менее одной единицы каждого наименования;</w:t>
      </w:r>
    </w:p>
    <w:p>
      <w:r>
        <w:rPr>
          <w:sz w:val="20"/>
        </w:rPr>
        <w:t xml:space="preserve">— изготовитель участвует в гарантийных испытаниях и подтверждает заявленные показатели на установившемся режиме по согласованной программе;</w:t>
      </w:r>
    </w:p>
    <w:p>
      <w:r>
        <w:rPr>
          <w:sz w:val="20"/>
        </w:rPr>
        <w:t xml:space="preserve">— гарантийный срок, порядок устранения дефектов и условия действия гарантий (состав сырья, режимы, соблюдение регламента) фиксируются в договоре поставки.</w:t>
      </w:r>
    </w:p>
    <w:p>
      <w:pPr>
        <w:pStyle w:val="Heading2"/>
      </w:pPr>
      <w:r>
        <w:rPr>
          <w:b/>
          <w:sz w:val="24"/>
        </w:rPr>
        <w:t xml:space="preserve">3.8. Комплектность, консервация и транспортирование</w:t>
      </w:r>
    </w:p>
    <w:p>
      <w:r>
        <w:rPr>
          <w:sz w:val="20"/>
        </w:rPr>
        <w:t xml:space="preserve">— в объём поставки входят все элементы в границах изделия, крепёж, прокладки и уплотнения, закладные под приборы контроля, площадки и лестницы на корпусе, запасные части;</w:t>
      </w:r>
    </w:p>
    <w:p>
      <w:r>
        <w:rPr>
          <w:sz w:val="20"/>
        </w:rPr>
        <w:t xml:space="preserve">— членение на поставочные блоки принимается с учётом транспортных габаритов до площадки и такелажной схемы; негабаритные корпуса поставляются частями с укрупнительной сборкой на площадке; транспортная схема и потребность в согласовании перевозки негабаритных грузов указываются в предложении;</w:t>
      </w:r>
    </w:p>
    <w:p>
      <w:r>
        <w:rPr>
          <w:sz w:val="20"/>
        </w:rPr>
        <w:t xml:space="preserve">— упаковка, консервация и маркировка — для транспортирования и хранения в районах Крайнего Севера, на срок хранения не менее 12 месяцев, включая зимний период.</w:t>
      </w:r>
    </w:p>
    <w:p>
      <w:pPr>
        <w:pStyle w:val="Heading2"/>
      </w:pPr>
      <w:r>
        <w:rPr>
          <w:b/>
          <w:sz w:val="24"/>
        </w:rPr>
        <w:t xml:space="preserve">3.9. Импортозамещение и состав предложения</w:t>
      </w:r>
    </w:p>
    <w:p>
      <w:r>
        <w:rPr>
          <w:sz w:val="20"/>
        </w:rPr>
        <w:t xml:space="preserve">Оборудование и программное обеспечение автоматизации — производства Российской Федерации (Приложение №5 к ТЗ); требование распространяется на приводную технику и средства измерений. Отступления — по согласованию с Заказчиком. По каждой позиции основного перечня запрашиваются бюджетные предложения не менее чем от двух-трёх изготовителей.</w:t>
      </w:r>
    </w:p>
    <w:p>
      <w:r>
        <w:rPr>
          <w:sz w:val="20"/>
        </w:rPr>
        <w:t xml:space="preserve">Состав технической части предложения:</w:t>
      </w:r>
    </w:p>
    <w:p>
      <w:r>
        <w:rPr>
          <w:sz w:val="20"/>
        </w:rPr>
        <w:t xml:space="preserve">— подтверждение параметров настоящего документа либо лист отклонений с обоснованием;</w:t>
      </w:r>
    </w:p>
    <w:p>
      <w:r>
        <w:rPr>
          <w:sz w:val="20"/>
        </w:rPr>
        <w:t xml:space="preserve">— чертёж общего вида, масса изделия и членение на поставочные блоки;</w:t>
      </w:r>
    </w:p>
    <w:p>
      <w:r>
        <w:rPr>
          <w:sz w:val="20"/>
        </w:rPr>
        <w:t xml:space="preserve">— материал контактных частей с указанием марки и нормативной документации поставки;</w:t>
      </w:r>
    </w:p>
    <w:p>
      <w:r>
        <w:rPr>
          <w:sz w:val="20"/>
        </w:rPr>
        <w:t xml:space="preserve">— срок разработки конструкторской документации, срок изготовления и срок поставки — письменно, с указанием условий, при которых срок действителен;</w:t>
      </w:r>
    </w:p>
    <w:p>
      <w:r>
        <w:rPr>
          <w:sz w:val="20"/>
        </w:rPr>
        <w:t xml:space="preserve">— референс-лист по изделиям, подтверждённый по продукту и среде, а не по классу оборудования;</w:t>
      </w:r>
    </w:p>
    <w:p>
      <w:r>
        <w:rPr>
          <w:sz w:val="20"/>
        </w:rPr>
        <w:t xml:space="preserve">— состав запасных частей и принадлежностей, объём шеф-монтажа, пусконаладки и обучения персонала;</w:t>
      </w:r>
    </w:p>
    <w:p>
      <w:r>
        <w:rPr>
          <w:sz w:val="20"/>
        </w:rPr>
        <w:t xml:space="preserve">— гарантийные показатели и условия их подтверждения при испытаниях;</w:t>
      </w:r>
    </w:p>
    <w:p>
      <w:r>
        <w:rPr>
          <w:sz w:val="20"/>
        </w:rPr>
        <w:t xml:space="preserve">— стоимость с разбивкой по блокам и услугам, условия и базис поставки, график платежей.</w:t>
      </w:r>
    </w:p>
    <w:p>
      <w:pPr>
        <w:pStyle w:val="Heading1"/>
      </w:pPr>
      <w:r>
        <w:rPr>
          <w:b/>
          <w:sz w:val="28"/>
        </w:rPr>
        <w:t xml:space="preserve">4. ДЦ-1. Печь кипящего слоя с футеровкой</w:t>
      </w:r>
    </w:p>
    <w:p>
      <w:pPr>
        <w:pStyle w:val="Heading2"/>
      </w:pPr>
      <w:r>
        <w:rPr>
          <w:b/>
          <w:sz w:val="24"/>
        </w:rPr>
        <w:t xml:space="preserve">4.1. Назначение и объём поставки</w:t>
      </w:r>
    </w:p>
    <w:p>
      <w:r>
        <w:rPr>
          <w:sz w:val="20"/>
        </w:rPr>
        <w:t xml:space="preserve">Окислительный обжиг «намертво» шихты на основе медного концентрата от разделения файнштейна в кипящем слое с получением огарка, обжиговой пыли и серосодержащего газа. Печь изготавливается по конструкторской документации, разрабатываемой под параметры настоящего проекта; корпус негабаритный, поставка царгами с укрупнительной сборкой на площадке.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(царги), свод, газовая коробка и опорные элементы;</w:t>
      </w:r>
    </w:p>
    <w:p>
      <w:r>
        <w:rPr>
          <w:sz w:val="20"/>
        </w:rPr>
        <w:t xml:space="preserve">— газораспределительная подина с 583 соплами из сплава ХН78Т;</w:t>
      </w:r>
    </w:p>
    <w:p>
      <w:r>
        <w:rPr>
          <w:sz w:val="20"/>
        </w:rPr>
        <w:t xml:space="preserve">— пороги выгрузки огарка с дроссельным затвором и ножевой шиберной задвижкой;</w:t>
      </w:r>
    </w:p>
    <w:p>
      <w:r>
        <w:rPr>
          <w:sz w:val="20"/>
        </w:rPr>
        <w:t xml:space="preserve">— шнековый забрасыватель шихты производительностью до 20 т/ч (Ø150, длина 1500 мм);</w:t>
      </w:r>
    </w:p>
    <w:p>
      <w:r>
        <w:rPr>
          <w:sz w:val="20"/>
        </w:rPr>
        <w:t xml:space="preserve">— разогревные мазутные горелки (3 шт., до 940 кг/ч по мазуту каждая) — покупные изделия в комплекте печи;</w:t>
      </w:r>
    </w:p>
    <w:p>
      <w:r>
        <w:rPr>
          <w:sz w:val="20"/>
        </w:rPr>
        <w:t xml:space="preserve">— проект футеровки с ведомостью огнеупоров, кривой сушки и схемой контрольных термопар кладки;</w:t>
      </w:r>
    </w:p>
    <w:p>
      <w:r>
        <w:rPr>
          <w:sz w:val="20"/>
        </w:rPr>
        <w:t xml:space="preserve">— закладные элементы под приборы контроля слоя, свода и газовой коробки.</w:t>
      </w:r>
    </w:p>
    <w:p>
      <w:pPr>
        <w:pStyle w:val="Heading2"/>
      </w:pPr>
      <w:r>
        <w:rPr>
          <w:b/>
          <w:sz w:val="24"/>
        </w:rPr>
        <w:t xml:space="preserve">4.2.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10–16 т/ч по шихте; запас производительности линии не менее 15 % (коэффициент 1,15)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91, 93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Геометрия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Ø 6000 / 8390 мм; площадь подины 28,27 м²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23, 24Б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Единовременное количество огарка в печи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139,0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230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Дутьё и температура газа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основной вариант — воздушно-кислородное дутьё с содержанием кислорода 52 % без подогрева, вспомогательный — 30,8 % кислорода с подогревом до ≈455 °C; температура газа на выходе до 913 / 919 °C, выгружаемого огарка — 930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2.3–2.5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Перепад давления на слое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48–53 кПа; пульсационная составляющая в полосе частот 0,5–5 Гц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215, 226–228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конструкции с футеровкой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200–230 т (шамот ≈135 т, подина ≈30 т, корпус и свод 40–60 т) — уточняется по конструкторской документации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по геометрии 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подины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+4,5; под печью размещаются газовая коробка, дутьевой коллектор и аварийная донная выгрузка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Кампания печи и капитальный ремонт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3 года; ремонт 29–31 сут, в том числе кладка 14 сут и сушка 3–5 сут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4.3. Материальное исполнение</w:t>
      </w:r>
    </w:p>
    <w:p>
      <w:r>
        <w:rPr>
          <w:sz w:val="20"/>
        </w:rPr>
        <w:t xml:space="preserve">Корпус — углеродистая сталь с листовым асбестом и шамотной кладкой; подина — жаропрочная сталь и жаростойкий бетон; сопла подины — сплав ХН78Т. Марки огнеупоров, толщины слоёв, схема температурных швов и перевязки — по проекту футеровки изготовителя; масса первичной кладки ориентировочно 135 т шамота.</w:t>
      </w:r>
    </w:p>
    <w:p>
      <w:pPr>
        <w:pStyle w:val="Heading2"/>
      </w:pPr>
      <w:r>
        <w:rPr>
          <w:b/>
          <w:sz w:val="24"/>
        </w:rPr>
        <w:t xml:space="preserve">4.4.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Разработка конструкторской документации под параметры проекта, изготовление негабаритного корпуса царгами, поставка огнеупоров, кладка футеровки и её регламентированная сушка на площадке.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Подтверждённых изготовителей под заданные параметры при проработке рынка не выявлено; поиск кандидатов ведётся отдельной процедурой.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4.5.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чертёж общего вида с отметкой подины и порогов выгрузки, присоединительными размерами газохода Ø2000, дутьевого коллектора и узла загрузки — в составе предложения (Т0 + 2,5 мес): определяет высотную схему и компоновку отделения обжига;</w:t>
      </w:r>
    </w:p>
    <w:p>
      <w:r>
        <w:rPr>
          <w:sz w:val="20"/>
        </w:rPr>
        <w:t xml:space="preserve">— нагрузки на опорный каркас и фундамент: постоянная от корпуса и футеровки, длительная от 139 т слоя, пульсационная составляющая кипящего слоя — Т0 + 4,0 мес;</w:t>
      </w:r>
    </w:p>
    <w:p>
      <w:r>
        <w:rPr>
          <w:sz w:val="20"/>
        </w:rPr>
        <w:t xml:space="preserve">— тепловые расширения корпуса и требования к компенсации на газоходе и дутьевом коллекторе — Т0 + 4,0 мес;</w:t>
      </w:r>
    </w:p>
    <w:p>
      <w:r>
        <w:rPr>
          <w:sz w:val="20"/>
        </w:rPr>
        <w:t xml:space="preserve">— проект футеровки с кривой сушки, схемой термопар кладки и критериями готовности; для Базового инжиниринга — подтверждение продолжительности сушки и потребности в разогревных горелках (Т0 + 4,0 мес);</w:t>
      </w:r>
    </w:p>
    <w:p>
      <w:r>
        <w:rPr>
          <w:sz w:val="20"/>
        </w:rPr>
        <w:t xml:space="preserve">— перечень сигналов контроля слоя, свода и газовой коробки, уставки защит и карта регистров цифрового интерфейса — Т0 + 4,0 мес.</w:t>
      </w:r>
    </w:p>
    <w:p>
      <w:pPr>
        <w:pStyle w:val="Heading2"/>
      </w:pPr>
      <w:r>
        <w:rPr>
          <w:b/>
          <w:sz w:val="24"/>
        </w:rPr>
        <w:t xml:space="preserve">4.6. Контроль, приёмка и шеф-монтаж</w:t>
      </w:r>
    </w:p>
    <w:p>
      <w:r>
        <w:rPr>
          <w:sz w:val="20"/>
        </w:rPr>
        <w:t xml:space="preserve">— контрольная сборка корпуса на заводе (царги, свод, подина, газовая коробка) с проверкой геометрии и присоединительных размеров; протокол — в приёмочной документации;</w:t>
      </w:r>
    </w:p>
    <w:p>
      <w:r>
        <w:rPr>
          <w:sz w:val="20"/>
        </w:rPr>
        <w:t xml:space="preserve">— визуально-измерительный контроль сварных соединений корпуса в объёме 100 % и неразрушающий контроль в объёме конструкторской документации; испытание газовой коробки на плотность до нанесения футеровки;</w:t>
      </w:r>
    </w:p>
    <w:p>
      <w:r>
        <w:rPr>
          <w:sz w:val="20"/>
        </w:rPr>
        <w:t xml:space="preserve">— пооперационная приёмка кладки с актами на скрытые работы (перевязка, температурные швы, зазоры);</w:t>
      </w:r>
    </w:p>
    <w:p>
      <w:r>
        <w:rPr>
          <w:sz w:val="20"/>
        </w:rPr>
        <w:t xml:space="preserve">— первичная сушка футеровки 10–30 сут по кривой проекта футеровки с контролем по термопарам кладки; после капитального ремонта — 3–5 сут;</w:t>
      </w:r>
    </w:p>
    <w:p>
      <w:r>
        <w:rPr>
          <w:sz w:val="20"/>
        </w:rPr>
        <w:t xml:space="preserve">— шеф-монтаж и шеф-наладка изготовителя, участие в разогреве и выводе печи на режим — отдельной позицией предложения.</w:t>
      </w:r>
    </w:p>
    <w:p>
      <w:r>
        <w:rPr>
          <w:color w:val="666666"/>
          <w:sz w:val="17"/>
        </w:rPr>
        <w:t xml:space="preserve">Источник: ИД ч.1 табл. 23, 24Б; разд. 2.3–2.5, 6; разделы БИ по компоновке, монтажу и приёмке</w:t>
      </w:r>
    </w:p>
    <w:p>
      <w:pPr>
        <w:pStyle w:val="Heading1"/>
      </w:pPr>
      <w:r>
        <w:rPr>
          <w:b/>
          <w:sz w:val="28"/>
        </w:rPr>
        <w:t xml:space="preserve">5. ДЦ-2. Котёл-утилизатор</w:t>
      </w:r>
    </w:p>
    <w:p>
      <w:pPr>
        <w:pStyle w:val="Heading2"/>
      </w:pPr>
      <w:r>
        <w:rPr>
          <w:b/>
          <w:sz w:val="24"/>
        </w:rPr>
        <w:t xml:space="preserve">5.1. Назначение и объём поставки</w:t>
      </w:r>
    </w:p>
    <w:p>
      <w:r>
        <w:rPr>
          <w:sz w:val="20"/>
        </w:rPr>
        <w:t xml:space="preserve">Охлаждение отходящего газа печи, рекуперация тепла с выработкой пара и улавливание грубой пыли. Существующее решение исходных данных перерабатывается под параметры проекта; изготовление ведётся по переработанной конструкторской документации.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поверхности нагрева, барабан, каркас и обмуровка;</w:t>
      </w:r>
    </w:p>
    <w:p>
      <w:r>
        <w:rPr>
          <w:sz w:val="20"/>
        </w:rPr>
        <w:t xml:space="preserve">— пылевой бункер объёмом 15 м³ с затвором и присоединением к шнековому транспортёру;</w:t>
      </w:r>
    </w:p>
    <w:p>
      <w:r>
        <w:rPr>
          <w:sz w:val="20"/>
        </w:rPr>
        <w:t xml:space="preserve">— арматура, предохранительные клапаны, узел питания с трёхимпульсным регулятором;</w:t>
      </w:r>
    </w:p>
    <w:p>
      <w:r>
        <w:rPr>
          <w:sz w:val="20"/>
        </w:rPr>
        <w:t xml:space="preserve">— площадки и лестницы обслуживания, закладные под приборы контроля;</w:t>
      </w:r>
    </w:p>
    <w:p>
      <w:r>
        <w:rPr>
          <w:sz w:val="20"/>
        </w:rPr>
        <w:t xml:space="preserve">— комплект документации для регистрации в органах Ростехнадзора.</w:t>
      </w:r>
    </w:p>
    <w:p>
      <w:pPr>
        <w:pStyle w:val="Heading2"/>
      </w:pPr>
      <w:r>
        <w:rPr>
          <w:b/>
          <w:sz w:val="24"/>
        </w:rPr>
        <w:t xml:space="preserve">5.2.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газа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30 000 нм³/ч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Параметры пара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1,9 МПа, 375 °C; паропроизводительность до 7 т/ч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264–272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газа на входе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913 / 919 °C (основной / вспомогательный вариант)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Подсосы воздуха (приёмочный критерий герметичности)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4,9 %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273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Пылевой бункер и отложения тракта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бункер 15 м³ (30,4 т пыли при насыпной плотности 2,025 т/м³); отложения в газоходе «печь — котёл» до 50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23;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барабана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конструкторской документации завода; по аналогам котлов за печами кипящего слоя ориентировочно 15–25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по предложению)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установки барабана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+18…+20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Питательная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химически очищенная вода 4,31 / 6,80 т/ч при 105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23; раздел БИ «Подключение к сетям»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Гидравлическое испытание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 1,25 × 1,9 МПа ≈ 2,38 МПа; окончательное значение — по расчёту на прочность завода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ФНП № 536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5.3. Материальное исполнение</w:t>
      </w:r>
    </w:p>
    <w:p>
      <w:r>
        <w:rPr>
          <w:sz w:val="20"/>
        </w:rPr>
        <w:t xml:space="preserve">Углеродистая сталь; поверхности нагрева типа «лист — полутруба», поставляемые блоками массой 3–8 т. Марки сталей, толщины и объём неразрушающего контроля — по расчёту на прочность изготовителя. Водно-химический режим: жёсткость не более 15 мкг-экв/кг, кислород не более 30 мкг/кг, водородный показатель не ниже 8,5.</w:t>
      </w:r>
    </w:p>
    <w:p>
      <w:pPr>
        <w:pStyle w:val="Heading2"/>
      </w:pPr>
      <w:r>
        <w:rPr>
          <w:b/>
          <w:sz w:val="24"/>
        </w:rPr>
        <w:t xml:space="preserve">5.4.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12–16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Перепроектирование существующего решения под параметры проекта, изготовление поверхностей нагрева и барабана, оценка соответствия оборудования под избыточным давлением.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узкий: кандидатов немного, сбор предложений требует отдельной работы по поиску и проверке референсов.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5.5.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масса барабана и монтажных блоков, схемы строповки и отметки установки — Т0 + 3,5 мес (грузоподъёмность мостового крана пролёта печи и котла назначается по массе барабана);</w:t>
      </w:r>
    </w:p>
    <w:p>
      <w:r>
        <w:rPr>
          <w:sz w:val="20"/>
        </w:rPr>
        <w:t xml:space="preserve">— нагрузки на самостоятельный каркас котла, включая массу пыли в бункере, — Т0 + 4,0 мес;</w:t>
      </w:r>
    </w:p>
    <w:p>
      <w:r>
        <w:rPr>
          <w:sz w:val="20"/>
        </w:rPr>
        <w:t xml:space="preserve">— расчёт на прочность, величина пробного давления и объём неразрушающего контроля — Т0 + 4,0 мес;</w:t>
      </w:r>
    </w:p>
    <w:p>
      <w:r>
        <w:rPr>
          <w:sz w:val="20"/>
        </w:rPr>
        <w:t xml:space="preserve">— расходы и параметры питательной воды, требования к водно-химическому режиму и продувкам — Т0 + 3,5 мес;</w:t>
      </w:r>
    </w:p>
    <w:p>
      <w:r>
        <w:rPr>
          <w:sz w:val="20"/>
        </w:rPr>
        <w:t xml:space="preserve">— перечень защит, блокировок и сигналов узла питания и барабана — Т0 + 4,0 мес.</w:t>
      </w:r>
    </w:p>
    <w:p>
      <w:pPr>
        <w:pStyle w:val="Heading2"/>
      </w:pPr>
      <w:r>
        <w:rPr>
          <w:b/>
          <w:sz w:val="24"/>
        </w:rPr>
        <w:t xml:space="preserve">5.6. Контроль, приёмка и шеф-монтаж</w:t>
      </w:r>
    </w:p>
    <w:p>
      <w:r>
        <w:rPr>
          <w:sz w:val="20"/>
        </w:rPr>
        <w:t xml:space="preserve">— оценка соответствия оборудования под избыточным давлением; комплект документации для регистрации в органах Ростехнадзора до пуска;</w:t>
      </w:r>
    </w:p>
    <w:p>
      <w:r>
        <w:rPr>
          <w:sz w:val="20"/>
        </w:rPr>
        <w:t xml:space="preserve">— гидравлическое испытание после монтажа — до нанесения изоляции и обмуровки;</w:t>
      </w:r>
    </w:p>
    <w:p>
      <w:r>
        <w:rPr>
          <w:sz w:val="20"/>
        </w:rPr>
        <w:t xml:space="preserve">— щелочение и отмывка внутренних поверхностей, продувка паропроводов до нормы завода;</w:t>
      </w:r>
    </w:p>
    <w:p>
      <w:r>
        <w:rPr>
          <w:sz w:val="20"/>
        </w:rPr>
        <w:t xml:space="preserve">— настройка предохранительных клапанов на стенде с контрольным подрывом по месту; наладка трёхимпульсного регулятора питания;</w:t>
      </w:r>
    </w:p>
    <w:p>
      <w:r>
        <w:rPr>
          <w:sz w:val="20"/>
        </w:rPr>
        <w:t xml:space="preserve">— монтаж укрупнёнными блоками максимальной заводской готовности; строповка только за штатные элементы по схеме завода-изготовителя;</w:t>
      </w:r>
    </w:p>
    <w:p>
      <w:r>
        <w:rPr>
          <w:sz w:val="20"/>
        </w:rPr>
        <w:t xml:space="preserve">— шеф-монтаж, участие в гидроиспытании, наладке защит и пуске.</w:t>
      </w:r>
    </w:p>
    <w:p>
      <w:r>
        <w:rPr>
          <w:color w:val="666666"/>
          <w:sz w:val="17"/>
        </w:rPr>
        <w:t xml:space="preserve">Источник: ИД ч.1 табл. 23 п. 264–273; раздел БИ «Испытания и приёмка»; ФНП № 536</w:t>
      </w:r>
    </w:p>
    <w:p>
      <w:pPr>
        <w:pStyle w:val="Heading1"/>
      </w:pPr>
      <w:r>
        <w:rPr>
          <w:b/>
          <w:sz w:val="28"/>
        </w:rPr>
        <w:t xml:space="preserve">6. ДЦ-3. Сухие электрофильтры</w:t>
      </w:r>
    </w:p>
    <w:p>
      <w:pPr>
        <w:pStyle w:val="Heading2"/>
      </w:pPr>
      <w:r>
        <w:rPr>
          <w:b/>
          <w:sz w:val="24"/>
        </w:rPr>
        <w:t xml:space="preserve">6.1. Назначение и объём поставки</w:t>
      </w:r>
    </w:p>
    <w:p>
      <w:r>
        <w:rPr>
          <w:sz w:val="20"/>
        </w:rPr>
        <w:t xml:space="preserve">Тонкая очистка технологического газа от пыли перед подачей в сернокислотный цех. Установлены два аппарата: один рабочий, один резервный, что обеспечивает проведение планово-предупредительных ремонтов без остановки линии.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корпус аппарата (царги), бункер пылесборника объёмом 10 м³ с затвором;</w:t>
      </w:r>
    </w:p>
    <w:p>
      <w:r>
        <w:rPr>
          <w:sz w:val="20"/>
        </w:rPr>
        <w:t xml:space="preserve">— блоки осадительных и коронирующих электродов, механизмы встряхивания;</w:t>
      </w:r>
    </w:p>
    <w:p>
      <w:r>
        <w:rPr>
          <w:sz w:val="20"/>
        </w:rPr>
        <w:t xml:space="preserve">— изоляторные коробки с обогревом и теплоизоляцией, площадки обслуживания;</w:t>
      </w:r>
    </w:p>
    <w:p>
      <w:r>
        <w:rPr>
          <w:sz w:val="20"/>
        </w:rPr>
        <w:t xml:space="preserve">— агрегаты питания полей (рассматриваются как отдельная позиция ДЦ-8 при поставке по самостоятельному договору).</w:t>
      </w:r>
    </w:p>
    <w:p>
      <w:pPr>
        <w:pStyle w:val="Heading2"/>
      </w:pPr>
      <w:r>
        <w:rPr>
          <w:b/>
          <w:sz w:val="24"/>
        </w:rPr>
        <w:t xml:space="preserve">6.2.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57 600 м³/ч на аппарат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Гарантируемая остаточная запылённость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0,1 г/нм³ при расходе 21 830 нм³/ч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357, 398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Электропитание полей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80 кВ; рабочие точки 46,4 / 57,6 кВ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349–351, 362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Габаритные размеры и масса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18 110 × 4 790 × 18 695 мм; масса 72,6 т, с пылью в бункере нагрузка на опоры 89,7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354, 355;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Подсосы воздуха (приёмочный критерий герметичности)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1,5 %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356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Условие включения полей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температура газа выше 320 °C при кислотной точке росы 221 / 209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расчётная записка КВАНТ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Членение на монтажные блоки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по разбивке завода; предварительно корпусная секция 15–20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(уточняется по предложению)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6.3. Материальное исполнение</w:t>
      </w:r>
    </w:p>
    <w:p>
      <w:r>
        <w:rPr>
          <w:sz w:val="20"/>
        </w:rPr>
        <w:t xml:space="preserve">Сталь 12Х18Н10Т. При цитировании документов Заказчика сохраняется принятое в них написание марки, при запросе предложений применяется нормализованное. Исполнение корпуса и изоляторных коробок — под сернистый газ с кислотной точкой росы; теплоизоляция корпуса и обогрев изоляторных коробок обязательны.</w:t>
      </w:r>
    </w:p>
    <w:p>
      <w:pPr>
        <w:pStyle w:val="Heading2"/>
      </w:pPr>
      <w:r>
        <w:rPr>
          <w:b/>
          <w:sz w:val="24"/>
        </w:rPr>
        <w:t xml:space="preserve">6.4.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10–14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крупногабаритного корпуса секциями, блоков осадительных и коронирующих электродов, комплектация агрегатами питания.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6.5.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разбивка на монтажные блоки с массами и схемами строповки, габариты транспортных мест — Т0 + 3,5 мес (аппараты монтируются первыми, до закрытия теплового контура здания);</w:t>
      </w:r>
    </w:p>
    <w:p>
      <w:r>
        <w:rPr>
          <w:sz w:val="20"/>
        </w:rPr>
        <w:t xml:space="preserve">— нагрузки на опоры (масса аппарата с пылью) и импульсные нагрузки от механизмов встряхивания — Т0 + 4,0 мес;</w:t>
      </w:r>
    </w:p>
    <w:p>
      <w:r>
        <w:rPr>
          <w:sz w:val="20"/>
        </w:rPr>
        <w:t xml:space="preserve">— требуемые зазоры электродов и допуски выверки, программа контроля геометрии после монтажа — Т0 + 4,0 мес;</w:t>
      </w:r>
    </w:p>
    <w:p>
      <w:r>
        <w:rPr>
          <w:sz w:val="20"/>
        </w:rPr>
        <w:t xml:space="preserve">— вольт-амперные характеристики полей, циклограммы встряхивания и алгоритм регулирования — Т0 + 4,0 мес;</w:t>
      </w:r>
    </w:p>
    <w:p>
      <w:r>
        <w:rPr>
          <w:sz w:val="20"/>
        </w:rPr>
        <w:t xml:space="preserve">— потребление агрегатов питания и требования к помещению агрегатных постов — Т0 + 3,5 мес.</w:t>
      </w:r>
    </w:p>
    <w:p>
      <w:pPr>
        <w:pStyle w:val="Heading2"/>
      </w:pPr>
      <w:r>
        <w:rPr>
          <w:b/>
          <w:sz w:val="24"/>
        </w:rPr>
        <w:t xml:space="preserve">6.6. Контроль, приёмка и шеф-монтаж</w:t>
      </w:r>
    </w:p>
    <w:p>
      <w:r>
        <w:rPr>
          <w:sz w:val="20"/>
        </w:rPr>
        <w:t xml:space="preserve">— заводская приёмка блоков электродов с контролем геометрии;</w:t>
      </w:r>
    </w:p>
    <w:p>
      <w:r>
        <w:rPr>
          <w:sz w:val="20"/>
        </w:rPr>
        <w:t xml:space="preserve">— контроль зазоров коронирующих и осадительных электродов после монтажа;</w:t>
      </w:r>
    </w:p>
    <w:p>
      <w:r>
        <w:rPr>
          <w:sz w:val="20"/>
        </w:rPr>
        <w:t xml:space="preserve">— сушка и прогрев изоляторных коробок; снятие вольт-амперных характеристик полей сначала на воздухе, затем на технологическом газе;</w:t>
      </w:r>
    </w:p>
    <w:p>
      <w:r>
        <w:rPr>
          <w:sz w:val="20"/>
        </w:rPr>
        <w:t xml:space="preserve">— проверка герметичности тракта инструментальным замером подсосов (не более 1,5 %);</w:t>
      </w:r>
    </w:p>
    <w:p>
      <w:r>
        <w:rPr>
          <w:sz w:val="20"/>
        </w:rPr>
        <w:t xml:space="preserve">— подтверждение остаточной запылённости при гарантийных испытаниях гравиметрическим методом аттестованными измерительными каналами.</w:t>
      </w:r>
    </w:p>
    <w:p>
      <w:r>
        <w:rPr>
          <w:color w:val="666666"/>
          <w:sz w:val="17"/>
        </w:rPr>
        <w:t xml:space="preserve">Источник: ИД ч.1 табл. 23 п. 349–357, 398; табл. 25; разделы БИ по монтажу и приёмке</w:t>
      </w:r>
    </w:p>
    <w:p>
      <w:pPr>
        <w:pStyle w:val="Heading1"/>
      </w:pPr>
      <w:r>
        <w:rPr>
          <w:b/>
          <w:sz w:val="28"/>
        </w:rPr>
        <w:t xml:space="preserve">7. ДЦ-4. Дымососы газового тракта</w:t>
      </w:r>
    </w:p>
    <w:p>
      <w:pPr>
        <w:pStyle w:val="Heading2"/>
      </w:pPr>
      <w:r>
        <w:rPr>
          <w:b/>
          <w:sz w:val="24"/>
        </w:rPr>
        <w:t xml:space="preserve">7.1. Назначение и объём поставки</w:t>
      </w:r>
    </w:p>
    <w:p>
      <w:r>
        <w:rPr>
          <w:sz w:val="20"/>
        </w:rPr>
        <w:t xml:space="preserve">Перемещение газа по газовому тракту и подача очищенного газа в сернокислотный цех. Установлены две машины: рабочая и резервная с автоматическим включением резерва и перекидными шиберами.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улитка с рабочим колесом и опорами, входной и выходной патрубки;</w:t>
      </w:r>
    </w:p>
    <w:p>
      <w:r>
        <w:rPr>
          <w:sz w:val="20"/>
        </w:rPr>
        <w:t xml:space="preserve">— электродвигатель 400 кВт, 6 кВ и система регулирования производительности;</w:t>
      </w:r>
    </w:p>
    <w:p>
      <w:r>
        <w:rPr>
          <w:sz w:val="20"/>
        </w:rPr>
        <w:t xml:space="preserve">— мягкие вставки и компенсаторы присоединения к газоходу;</w:t>
      </w:r>
    </w:p>
    <w:p>
      <w:r>
        <w:rPr>
          <w:sz w:val="20"/>
        </w:rPr>
        <w:t xml:space="preserve">— штатные точки вибромониторинга с выводом в систему автоматизации.</w:t>
      </w:r>
    </w:p>
    <w:p>
      <w:pPr>
        <w:pStyle w:val="Heading2"/>
      </w:pPr>
      <w:r>
        <w:rPr>
          <w:b/>
          <w:sz w:val="24"/>
        </w:rPr>
        <w:t xml:space="preserve">7.2.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78 000 м³/ч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Электропривод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400 кВт, 6000 В, 1500 мин⁻¹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387–391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агрегата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5,64 т (улитка 3,32 т, электродвигатель 2,32 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392, 397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Определяющий режим тракта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вспомогательный вариант обжига: 21 830 нм³/ч при 5 426 Па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357, 398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Частота вынуждающей силы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25 Гц; фундамент — массивный блок предварительно 45–70 т с отстройкой собственных частот не менее ±25 %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по СП 26.13330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Класс точности балансировки ротора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G6.3 — задаётся опросным листом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Время перестановки перекидных шиберов при включении резерва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60 с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(автоматизация тракта)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7.3. Материальное исполнение</w:t>
      </w:r>
    </w:p>
    <w:p>
      <w:r>
        <w:rPr>
          <w:sz w:val="20"/>
        </w:rPr>
        <w:t xml:space="preserve">Сталь 12Х18Н10Т (нормализованное написание марки). Исполнение проточной части — под сернистый газ с содержанием пыли после электрофильтра; антикоррозионная защита наружных поверхностей — под наружную установку при расчётной температуре −40 °C.</w:t>
      </w:r>
    </w:p>
    <w:p>
      <w:pPr>
        <w:pStyle w:val="Heading2"/>
      </w:pPr>
      <w:r>
        <w:rPr>
          <w:b/>
          <w:sz w:val="24"/>
        </w:rPr>
        <w:t xml:space="preserve">7.4.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машины под параметры тракта, комплектация электродвигателем 6 кВ и системой регулирования производительности.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7.5.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паспортные динамические нагрузки от остаточного дисбаланса ротора и класс балансировки — Т0 + 4,0 мес: без них фундамент по нормам на фундаменты машин с динамическими нагрузками не рассчитывается;</w:t>
      </w:r>
    </w:p>
    <w:p>
      <w:r>
        <w:rPr>
          <w:sz w:val="20"/>
        </w:rPr>
        <w:t xml:space="preserve">— масса агрегата, габаритный и установочный чертежи, присоединительные размеры — в составе предложения (Т0 + 2,5 мес);</w:t>
      </w:r>
    </w:p>
    <w:p>
      <w:r>
        <w:rPr>
          <w:sz w:val="20"/>
        </w:rPr>
        <w:t xml:space="preserve">— напорная характеристика с указанием рабочих точек обоих вариантов обжига и характеристика при частотном регулировании — Т0 + 3,5 мес;</w:t>
      </w:r>
    </w:p>
    <w:p>
      <w:r>
        <w:rPr>
          <w:sz w:val="20"/>
        </w:rPr>
        <w:t xml:space="preserve">— требования к мягким вставкам и компенсаторам присоединения, допустимые усилия на патрубках — Т0 + 4,0 мес;</w:t>
      </w:r>
    </w:p>
    <w:p>
      <w:r>
        <w:rPr>
          <w:sz w:val="20"/>
        </w:rPr>
        <w:t xml:space="preserve">— параметры электропривода: пусковой ток, способ пуска, требования к преобразователю частоты — Т0 + 3,5 мес.</w:t>
      </w:r>
    </w:p>
    <w:p>
      <w:pPr>
        <w:pStyle w:val="Heading2"/>
      </w:pPr>
      <w:r>
        <w:rPr>
          <w:b/>
          <w:sz w:val="24"/>
        </w:rPr>
        <w:t xml:space="preserve">7.6. Контроль, приёмка и шеф-монтаж</w:t>
      </w:r>
    </w:p>
    <w:p>
      <w:r>
        <w:rPr>
          <w:sz w:val="20"/>
        </w:rPr>
        <w:t xml:space="preserve">— заводская балансировка ротора с протоколом; приёмо-сдаточные испытания с подтверждением характеристики;</w:t>
      </w:r>
    </w:p>
    <w:p>
      <w:r>
        <w:rPr>
          <w:sz w:val="20"/>
        </w:rPr>
        <w:t xml:space="preserve">— лазерная центровка валов при монтаже и подливка безусадочными составами;</w:t>
      </w:r>
    </w:p>
    <w:p>
      <w:r>
        <w:rPr>
          <w:sz w:val="20"/>
        </w:rPr>
        <w:t xml:space="preserve">— вибрационная приёмка по паспорту изготовителя с записью среднего квадратичного значения виброскорости;</w:t>
      </w:r>
    </w:p>
    <w:p>
      <w:r>
        <w:rPr>
          <w:sz w:val="20"/>
        </w:rPr>
        <w:t xml:space="preserve">— снятие напорной характеристики при частотном регулировании и наладка автоматического включения резерва;</w:t>
      </w:r>
    </w:p>
    <w:p>
      <w:r>
        <w:rPr>
          <w:sz w:val="20"/>
        </w:rPr>
        <w:t xml:space="preserve">— шеф-монтаж и участие в пусконаладке газового тракта.</w:t>
      </w:r>
    </w:p>
    <w:p>
      <w:r>
        <w:rPr>
          <w:color w:val="666666"/>
          <w:sz w:val="17"/>
        </w:rPr>
        <w:t xml:space="preserve">Источник: ИД ч.1 табл. 23 п. 387–398; разделы БИ по фундаментам и приёмке</w:t>
      </w:r>
    </w:p>
    <w:p>
      <w:pPr>
        <w:pStyle w:val="Heading1"/>
      </w:pPr>
      <w:r>
        <w:rPr>
          <w:b/>
          <w:sz w:val="28"/>
        </w:rPr>
        <w:t xml:space="preserve">8. ДЦ-5. Воздуходувка дутьевая</w:t>
      </w:r>
    </w:p>
    <w:p>
      <w:pPr>
        <w:pStyle w:val="Heading2"/>
      </w:pPr>
      <w:r>
        <w:rPr>
          <w:b/>
          <w:sz w:val="24"/>
        </w:rPr>
        <w:t xml:space="preserve">8.1. Назначение и объём поставки</w:t>
      </w:r>
    </w:p>
    <w:p>
      <w:r>
        <w:rPr>
          <w:sz w:val="20"/>
        </w:rPr>
        <w:t xml:space="preserve">Подача дутья и создание псевдоожиженного слоя в печи. Машина работает в двух режимах: основном (воздушно-кислородное дутьё без подогрева) и вспомогательном (дутьё с подогревом смешением с топочными газами); тип машины на настоящей стадии не выбран и определяется по предложениям изготовителей.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машина с приводом, входным и напорным патрубками, глушителями;</w:t>
      </w:r>
    </w:p>
    <w:p>
      <w:r>
        <w:rPr>
          <w:sz w:val="20"/>
        </w:rPr>
        <w:t xml:space="preserve">— система регулирования производительности и защиты от помпажа;</w:t>
      </w:r>
    </w:p>
    <w:p>
      <w:r>
        <w:rPr>
          <w:sz w:val="20"/>
        </w:rPr>
        <w:t xml:space="preserve">— маслостанция и система охлаждения (при наличии в конструкции);</w:t>
      </w:r>
    </w:p>
    <w:p>
      <w:r>
        <w:rPr>
          <w:sz w:val="20"/>
        </w:rPr>
        <w:t xml:space="preserve">— шумоизолирующие ограждения либо требования к шумоизолированному помещению.</w:t>
      </w:r>
    </w:p>
    <w:p>
      <w:pPr>
        <w:pStyle w:val="Heading2"/>
      </w:pPr>
      <w:r>
        <w:rPr>
          <w:b/>
          <w:sz w:val="24"/>
        </w:rPr>
        <w:t xml:space="preserve">8.2.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технологического воздуха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6655 нм³/ч при 25 °C / 12 612 нм³/ч при 455,3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Расход по дутьевому коллектору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11 342 / 19 146 нм³/ч (основной / вспомогательный вариант)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разд. 2.3; раздел БИ «Перечень трубопроводов»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Конечное давление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0,09–0,12 МПа избыточных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197–199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Мощность на валу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≈220 кВт (основной вариант) / ≈410 кВт (вспомогательный) при степени повышения давления ≈2,0 — уточняется выбором машины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расчёт КВАНТ, блок электрических нагрузок Лота №1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Резерв под фундамент до выбора машины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блок 6 × 4 м с допуском по массе до 60 т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(планы фундаментов)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Режим работы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непрерывный, 7920 ч/год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ТЗ п. 3.4; ИД ч.1 табл. 23 п. 89–90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8.3. Материальное исполнение</w:t>
      </w:r>
    </w:p>
    <w:p>
      <w:r>
        <w:rPr>
          <w:sz w:val="20"/>
        </w:rPr>
        <w:t xml:space="preserve">Материальное исполнение проточной части — под воздух и воздушно-кислородную смесь; при содержании кислорода в дутье 52 % обязательны обезжиривание проточной части и исключение применения масел в контакте с кислородом на участках после узла смешения. Требования к исполнению уточняются при выборе машины.</w:t>
      </w:r>
    </w:p>
    <w:p>
      <w:pPr>
        <w:pStyle w:val="Heading2"/>
      </w:pPr>
      <w:r>
        <w:rPr>
          <w:b/>
          <w:sz w:val="24"/>
        </w:rPr>
        <w:t xml:space="preserve">8.4.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8–12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Оценка Исполнителя;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Индивидуальный подбор и изготовление машины под два расчётных режима дутья, комплектация приводом и системой регулирования.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8.5.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тип машины, частота вращения, наличие мультипликатора — в составе предложения (Т0 + 2,5 мес): определяют схему фундамента и состав вспомогательных систем;</w:t>
      </w:r>
    </w:p>
    <w:p>
      <w:r>
        <w:rPr>
          <w:sz w:val="20"/>
        </w:rPr>
        <w:t xml:space="preserve">— паспортные динамические нагрузки и габарит фундаментного блока — Т0 + 4,0 мес;</w:t>
      </w:r>
    </w:p>
    <w:p>
      <w:r>
        <w:rPr>
          <w:sz w:val="20"/>
        </w:rPr>
        <w:t xml:space="preserve">— характеристика машины с рабочими точками обоих вариантов дутья и границей помпажа — Т0 + 3,5 мес;</w:t>
      </w:r>
    </w:p>
    <w:p>
      <w:r>
        <w:rPr>
          <w:sz w:val="20"/>
        </w:rPr>
        <w:t xml:space="preserve">— потребление на валу, параметры электропривода и способ пуска — Т0 + 3,5 мес (уточняют расчётную мощность цеха и выбор питающего напряжения);</w:t>
      </w:r>
    </w:p>
    <w:p>
      <w:r>
        <w:rPr>
          <w:sz w:val="20"/>
        </w:rPr>
        <w:t xml:space="preserve">— уровень звукового давления и требования к помещению, расход охлаждающей воды и масла — Т0 + 3,5 мес.</w:t>
      </w:r>
    </w:p>
    <w:p>
      <w:pPr>
        <w:pStyle w:val="Heading2"/>
      </w:pPr>
      <w:r>
        <w:rPr>
          <w:b/>
          <w:sz w:val="24"/>
        </w:rPr>
        <w:t xml:space="preserve">8.6. Контроль, приёмка и шеф-монтаж</w:t>
      </w:r>
    </w:p>
    <w:p>
      <w:r>
        <w:rPr>
          <w:sz w:val="20"/>
        </w:rPr>
        <w:t xml:space="preserve">— заводские испытания с подтверждением характеристики и удельного потребления;</w:t>
      </w:r>
    </w:p>
    <w:p>
      <w:r>
        <w:rPr>
          <w:sz w:val="20"/>
        </w:rPr>
        <w:t xml:space="preserve">— балансировка ротора и вибрационная приёмка при монтаже;</w:t>
      </w:r>
    </w:p>
    <w:p>
      <w:r>
        <w:rPr>
          <w:sz w:val="20"/>
        </w:rPr>
        <w:t xml:space="preserve">— проверка систем защиты от помпажа и автоматики регулирования;</w:t>
      </w:r>
    </w:p>
    <w:p>
      <w:r>
        <w:rPr>
          <w:sz w:val="20"/>
        </w:rPr>
        <w:t xml:space="preserve">— подтверждение уровня шума на рабочих местах после монтажа;</w:t>
      </w:r>
    </w:p>
    <w:p>
      <w:r>
        <w:rPr>
          <w:sz w:val="20"/>
        </w:rPr>
        <w:t xml:space="preserve">— шеф-монтаж и участие в наладке узла дутья.</w:t>
      </w:r>
    </w:p>
    <w:p>
      <w:r>
        <w:rPr>
          <w:color w:val="666666"/>
          <w:sz w:val="17"/>
        </w:rPr>
        <w:t xml:space="preserve">Источник: ИД ч.1 табл. 23 п. 197–199, 226–228; расчёт КВАНТ; раздел БИ по фундаментам</w:t>
      </w:r>
    </w:p>
    <w:p>
      <w:pPr>
        <w:pStyle w:val="Heading1"/>
      </w:pPr>
      <w:r>
        <w:rPr>
          <w:b/>
          <w:sz w:val="28"/>
        </w:rPr>
        <w:t xml:space="preserve">9. ДЦ-6. Шнековые холодильники огарка и пыли</w:t>
      </w:r>
    </w:p>
    <w:p>
      <w:pPr>
        <w:pStyle w:val="Heading2"/>
      </w:pPr>
      <w:r>
        <w:rPr>
          <w:b/>
          <w:sz w:val="24"/>
        </w:rPr>
        <w:t xml:space="preserve">9.1. Назначение и объём поставки</w:t>
      </w:r>
    </w:p>
    <w:p>
      <w:r>
        <w:rPr>
          <w:sz w:val="20"/>
        </w:rPr>
        <w:t xml:space="preserve">Охлаждение огарка и пыли водой в рубашках шнеков до температуры отгрузки не выше 70 °C. Холодильник огарка устанавливается непосредственно под сливным порогом печи: транспортирование раскалённого огарка механизмами исключено, поэтому габарит и отметка загрузочного патрубка определяют высотную схему отделения обжига.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холодильник огарка и грубой пыли: два шнека Ø610, длина 7315 мм, привод 15 кВт;</w:t>
      </w:r>
    </w:p>
    <w:p>
      <w:r>
        <w:rPr>
          <w:sz w:val="20"/>
        </w:rPr>
        <w:t xml:space="preserve">— холодильник тонкой пыли: один шнек Ø187, длина 3048 мм;</w:t>
      </w:r>
    </w:p>
    <w:p>
      <w:r>
        <w:rPr>
          <w:sz w:val="20"/>
        </w:rPr>
        <w:t xml:space="preserve">— обвязка водяных рубашек с арматурой и приборами контроля;</w:t>
      </w:r>
    </w:p>
    <w:p>
      <w:r>
        <w:rPr>
          <w:sz w:val="20"/>
        </w:rPr>
        <w:t xml:space="preserve">— опорные рамы и компенсация тепловых расширений корпуса.</w:t>
      </w:r>
    </w:p>
    <w:p>
      <w:pPr>
        <w:pStyle w:val="Heading2"/>
      </w:pPr>
      <w:r>
        <w:rPr>
          <w:b/>
          <w:sz w:val="24"/>
        </w:rPr>
        <w:t xml:space="preserve">9.2.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Производительность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15 т/ч (огарок и грубая пыль); до 1 т/ч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материала на выходе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более 70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Оборотная 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176,9 т/ч при 0,6 МПа с нагревом 25 → 35 °C (огарок); 2,197 т/ч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Установленная мощность привода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15 кВт (холодильник огарка)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с заполнением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ориентировочно 12–18 т (холодильник огарка) — уточняется по предложению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загрузочного патрубка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+5,2…+5,5 — под сливным порогом печи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 (компоновка); уточняется по конструкторской документации печи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9.3. Материальное исполнение</w:t>
      </w:r>
    </w:p>
    <w:p>
      <w:r>
        <w:rPr>
          <w:sz w:val="20"/>
        </w:rPr>
        <w:t xml:space="preserve">Сталь 316 (по исходным данным) для частей, контактирующих с горячим огарком и пылью; при замене на аналог российского производства класс коррозионной и жаростойкости подтверждается расчётом и согласовывается с Заказчиком. Уплотнения валов — под пылящий высокотемпературный материал.</w:t>
      </w:r>
    </w:p>
    <w:p>
      <w:pPr>
        <w:pStyle w:val="Heading2"/>
      </w:pPr>
      <w:r>
        <w:rPr>
          <w:b/>
          <w:sz w:val="24"/>
        </w:rPr>
        <w:t xml:space="preserve">9.4.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задан. При переходе на аналог российского производства цикл определяется заново по заданию на изготовление.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Позиция импортной поставки по исходным данным; в составе Базового инжиниринга прорабатываются аналоги российского производства, для которых требуется разработка задания на изготовление.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9.5.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габаритный и установочный чертежи с отметкой и размерами загрузочного патрубка — в составе предложения (Т0 + 2,5 мес): определяют высотную схему выгрузки огарка;</w:t>
      </w:r>
    </w:p>
    <w:p>
      <w:r>
        <w:rPr>
          <w:sz w:val="20"/>
        </w:rPr>
        <w:t xml:space="preserve">— масса аппарата порожнего и с заполнением, нагрузки на опоры — Т0 + 3,5 мес;</w:t>
      </w:r>
    </w:p>
    <w:p>
      <w:r>
        <w:rPr>
          <w:sz w:val="20"/>
        </w:rPr>
        <w:t xml:space="preserve">— расход, давление и требования к качеству охлаждающей воды, тепловая нагрузка — Т0 + 3,5 мес;</w:t>
      </w:r>
    </w:p>
    <w:p>
      <w:r>
        <w:rPr>
          <w:sz w:val="20"/>
        </w:rPr>
        <w:t xml:space="preserve">— требования к компенсации тепловых расширений корпуса и допустимые усилия на патрубках — Т0 + 4,0 мес;</w:t>
      </w:r>
    </w:p>
    <w:p>
      <w:r>
        <w:rPr>
          <w:sz w:val="20"/>
        </w:rPr>
        <w:t xml:space="preserve">— сигналы контроля температуры материала на выходе и расхода воды — Т0 + 4,0 мес.</w:t>
      </w:r>
    </w:p>
    <w:p>
      <w:pPr>
        <w:pStyle w:val="Heading2"/>
      </w:pPr>
      <w:r>
        <w:rPr>
          <w:b/>
          <w:sz w:val="24"/>
        </w:rPr>
        <w:t xml:space="preserve">9.6. Контроль, приёмка и шеф-монтаж</w:t>
      </w:r>
    </w:p>
    <w:p>
      <w:r>
        <w:rPr>
          <w:sz w:val="20"/>
        </w:rPr>
        <w:t xml:space="preserve">— заводское гидравлическое испытание водяных рубашек;</w:t>
      </w:r>
    </w:p>
    <w:p>
      <w:r>
        <w:rPr>
          <w:sz w:val="20"/>
        </w:rPr>
        <w:t xml:space="preserve">— проверка герметичности контура охлаждения и уплотнений валов после монтажа;</w:t>
      </w:r>
    </w:p>
    <w:p>
      <w:r>
        <w:rPr>
          <w:sz w:val="20"/>
        </w:rPr>
        <w:t xml:space="preserve">— обкатка на холостом ходу с проверкой направления вращения и блокировок;</w:t>
      </w:r>
    </w:p>
    <w:p>
      <w:r>
        <w:rPr>
          <w:sz w:val="20"/>
        </w:rPr>
        <w:t xml:space="preserve">— подтверждение температуры материала на выходе при комплексном опробовании и гарантийных испытаниях;</w:t>
      </w:r>
    </w:p>
    <w:p>
      <w:r>
        <w:rPr>
          <w:sz w:val="20"/>
        </w:rPr>
        <w:t xml:space="preserve">— шеф-монтаж; для аналога российского производства — участие изготовителя в приёмке узла выгрузки огарка.</w:t>
      </w:r>
    </w:p>
    <w:p>
      <w:r>
        <w:rPr>
          <w:color w:val="666666"/>
          <w:sz w:val="17"/>
        </w:rPr>
        <w:t xml:space="preserve">Источник: ИД ч.1 табл. 23; разделы БИ по компоновке и спецификации оборудования</w:t>
      </w:r>
    </w:p>
    <w:p>
      <w:pPr>
        <w:pStyle w:val="Heading1"/>
      </w:pPr>
      <w:r>
        <w:rPr>
          <w:b/>
          <w:sz w:val="28"/>
        </w:rPr>
        <w:t xml:space="preserve">10. ДЦ-7. Силосные башни огарка и тонкой пыли</w:t>
      </w:r>
    </w:p>
    <w:p>
      <w:pPr>
        <w:pStyle w:val="Heading2"/>
      </w:pPr>
      <w:r>
        <w:rPr>
          <w:b/>
          <w:sz w:val="24"/>
        </w:rPr>
        <w:t xml:space="preserve">10.1. Назначение и объём поставки</w:t>
      </w:r>
    </w:p>
    <w:p>
      <w:r>
        <w:rPr>
          <w:sz w:val="20"/>
        </w:rPr>
        <w:t xml:space="preserve">Хранение суточного запаса охлаждённого огарка и тонкой пыли с отгрузкой самотёком в автоцементовозы. Башни выносятся к автопроезду; низ конуса назначается над габаритом автоцементовоза.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обечайка с конусом, опорная конструкция, площадки и лестницы;</w:t>
      </w:r>
    </w:p>
    <w:p>
      <w:r>
        <w:rPr>
          <w:sz w:val="20"/>
        </w:rPr>
        <w:t xml:space="preserve">— футеровка внутренней поверхности полиэтиленом;</w:t>
      </w:r>
    </w:p>
    <w:p>
      <w:r>
        <w:rPr>
          <w:sz w:val="20"/>
        </w:rPr>
        <w:t xml:space="preserve">— узел герметичного налива в автоцементовоз с аспирационным присоединением;</w:t>
      </w:r>
    </w:p>
    <w:p>
      <w:r>
        <w:rPr>
          <w:sz w:val="20"/>
        </w:rPr>
        <w:t xml:space="preserve">— виброразгружатели и указатели уровня.</w:t>
      </w:r>
    </w:p>
    <w:p>
      <w:pPr>
        <w:pStyle w:val="Heading2"/>
      </w:pPr>
      <w:r>
        <w:rPr>
          <w:b/>
          <w:sz w:val="24"/>
        </w:rPr>
        <w:t xml:space="preserve">10.2.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Полезный объём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100 м³ (огарок и грубая пыль) — запас на сутки работы; 10 м³ (тонкая пыль)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Масса материала в силосе огарка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221 т (насыпная уплотнённая плотность ≈2,2 т/м³)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25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Отметка низа конуса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+4,2 — над габаритом автоцементовоза 4,0 м с зазором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габарит автоцементовоза — ИД ч.1 табл. 23 п. 496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Угол наклона конуса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менее 60° при угле естественного откоса материала 30–42°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БИ; ИД ч.1 табл. 20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Температура загружаемого материала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не выше 70 °C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10.3. Материальное исполнение</w:t>
      </w:r>
    </w:p>
    <w:p>
      <w:r>
        <w:rPr>
          <w:sz w:val="20"/>
        </w:rPr>
        <w:t xml:space="preserve">Углеродистая сталь с футеровкой внутренней поверхности полиэтиленом PE500. Наружные конструкции — исполнение УХЛ1 с расчётом на снеговую и ветровую нагрузку района; узлы крепления виброразгружателей проверяются на усталость.</w:t>
      </w:r>
    </w:p>
    <w:p>
      <w:pPr>
        <w:pStyle w:val="Heading2"/>
      </w:pPr>
      <w:r>
        <w:rPr>
          <w:b/>
          <w:sz w:val="24"/>
        </w:rPr>
        <w:t xml:space="preserve">10.4.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Индивидуальное изготовление ёмкости с футеровкой; цельносварная обечайка является транспортным негабаритом — поставка царгами либо полистовая сборка на площадке.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10.5.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членение на транспортируемые элементы и схема укрупнительной сборки, масса элементов — Т0 + 3,5 мес; при цельносварной поставке — требования к согласованию перевозки негабарита;</w:t>
      </w:r>
    </w:p>
    <w:p>
      <w:r>
        <w:rPr>
          <w:sz w:val="20"/>
        </w:rPr>
        <w:t xml:space="preserve">— нагрузки на фундамент: собственный вес и масса материала — Т0 + 4,0 мес;</w:t>
      </w:r>
    </w:p>
    <w:p>
      <w:r>
        <w:rPr>
          <w:sz w:val="20"/>
        </w:rPr>
        <w:t xml:space="preserve">— импульсные нагрузки от виброразгружателей и требования к их креплению — Т0 + 4,0 мес;</w:t>
      </w:r>
    </w:p>
    <w:p>
      <w:r>
        <w:rPr>
          <w:sz w:val="20"/>
        </w:rPr>
        <w:t xml:space="preserve">— конструкция узла налива, расход аспирационного воздуха от узла отгрузки — Т0 + 3,5 мес;</w:t>
      </w:r>
    </w:p>
    <w:p>
      <w:r>
        <w:rPr>
          <w:sz w:val="20"/>
        </w:rPr>
        <w:t xml:space="preserve">— требования к контролю уровня и сигнализации переполнения — Т0 + 4,0 мес.</w:t>
      </w:r>
    </w:p>
    <w:p>
      <w:pPr>
        <w:pStyle w:val="Heading2"/>
      </w:pPr>
      <w:r>
        <w:rPr>
          <w:b/>
          <w:sz w:val="24"/>
        </w:rPr>
        <w:t xml:space="preserve">10.6. Контроль, приёмка и шеф-монтаж</w:t>
      </w:r>
    </w:p>
    <w:p>
      <w:r>
        <w:rPr>
          <w:sz w:val="20"/>
        </w:rPr>
        <w:t xml:space="preserve">— контроль сплошности и адгезии футеровки; протокол — в приёмочной документации;</w:t>
      </w:r>
    </w:p>
    <w:p>
      <w:r>
        <w:rPr>
          <w:sz w:val="20"/>
        </w:rPr>
        <w:t xml:space="preserve">— испытание корпуса на плотность; контроль сварных соединений;</w:t>
      </w:r>
    </w:p>
    <w:p>
      <w:r>
        <w:rPr>
          <w:sz w:val="20"/>
        </w:rPr>
        <w:t xml:space="preserve">— проверка работы виброразгружателей и узла налива на холостом ходу;</w:t>
      </w:r>
    </w:p>
    <w:p>
      <w:r>
        <w:rPr>
          <w:sz w:val="20"/>
        </w:rPr>
        <w:t xml:space="preserve">— приёмка узла отгрузки совместно с проверкой аспирации;</w:t>
      </w:r>
    </w:p>
    <w:p>
      <w:r>
        <w:rPr>
          <w:sz w:val="20"/>
        </w:rPr>
        <w:t xml:space="preserve">— шеф-монтаж при полистовой сборке на площадке.</w:t>
      </w:r>
    </w:p>
    <w:p>
      <w:r>
        <w:rPr>
          <w:color w:val="666666"/>
          <w:sz w:val="17"/>
        </w:rPr>
        <w:t xml:space="preserve">Источник: ИД ч.1 табл. 23, 25; разделы БИ по компоновке и конструкциям</w:t>
      </w:r>
    </w:p>
    <w:p>
      <w:pPr>
        <w:pStyle w:val="Heading1"/>
      </w:pPr>
      <w:r>
        <w:rPr>
          <w:b/>
          <w:sz w:val="28"/>
        </w:rPr>
        <w:t xml:space="preserve">11. ДЦ-8. Электротехническое оборудование длительного цикла</w:t>
      </w:r>
    </w:p>
    <w:p>
      <w:pPr>
        <w:pStyle w:val="Heading2"/>
      </w:pPr>
      <w:r>
        <w:rPr>
          <w:b/>
          <w:sz w:val="24"/>
        </w:rPr>
        <w:t xml:space="preserve">11.1. Назначение и объём поставки</w:t>
      </w:r>
    </w:p>
    <w:p>
      <w:r>
        <w:rPr>
          <w:sz w:val="20"/>
        </w:rPr>
        <w:t xml:space="preserve">Позиция объединяет электротехническое оборудование, изготавливаемое под заказ: агрегаты питания полей электрофильтров, комплектную трансформаторную подстанцию 6/0,4 кВ и преобразователь частоты 6 кВ для электропривода дымососа. Окончательные параметры определяются сводной таблицей электроприёмников, выпускаемой в составе Базового инжиниринга, и техническими условиями на технологическое присоединение.</w:t>
      </w:r>
    </w:p>
    <w:p>
      <w:r>
        <w:rPr>
          <w:sz w:val="20"/>
        </w:rPr>
        <w:t xml:space="preserve">В объём поставки позиции входят:</w:t>
      </w:r>
    </w:p>
    <w:p>
      <w:r>
        <w:rPr>
          <w:sz w:val="20"/>
        </w:rPr>
        <w:t xml:space="preserve">— агрегаты питания электрофильтров (2 комплекта, по одному агрегатному посту на аппарат) с трансформаторно-выпрямительными блоками, шкафами управления, высоковольтными вводами, устройствами заземления и блокировками доступа;</w:t>
      </w:r>
    </w:p>
    <w:p>
      <w:r>
        <w:rPr>
          <w:sz w:val="20"/>
        </w:rPr>
        <w:t xml:space="preserve">— двухтрансформаторная комплектная подстанция 6/0,4 кВ с автоматическим вводом резерва на секционном выключателе и устройствами компенсации реактивной мощности;</w:t>
      </w:r>
    </w:p>
    <w:p>
      <w:r>
        <w:rPr>
          <w:sz w:val="20"/>
        </w:rPr>
        <w:t xml:space="preserve">— распределительное устройство 6 кВ для дымососов и воздуходувки;</w:t>
      </w:r>
    </w:p>
    <w:p>
      <w:r>
        <w:rPr>
          <w:sz w:val="20"/>
        </w:rPr>
        <w:t xml:space="preserve">— преобразователь частоты (либо устройство плавного пуска) для электродвигателя дымососа 400 кВт, 6 кВ;</w:t>
      </w:r>
    </w:p>
    <w:p>
      <w:r>
        <w:rPr>
          <w:sz w:val="20"/>
        </w:rPr>
        <w:t xml:space="preserve">— программное обеспечение регулирования режима полей и передача данных в систему автоматизации.</w:t>
      </w:r>
    </w:p>
    <w:p>
      <w:pPr>
        <w:pStyle w:val="Heading2"/>
      </w:pPr>
      <w:r>
        <w:rPr>
          <w:b/>
          <w:sz w:val="24"/>
        </w:rPr>
        <w:t xml:space="preserve">11.2. Основные параметры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2900"/>
        <w:gridCol w:w="4700"/>
        <w:gridCol w:w="1754"/>
      </w:tblGrid>
      <w:tr>
        <w:tc>
          <w:tcPr>
            <w:tcW w:w="2900" w:type="dxa"/>
            <w:shd w:val="clear" w:fill="EFEFEF"/>
          </w:tcPr>
          <w:p>
            <w:r>
              <w:rPr>
                <w:b/>
                <w:sz w:val="18"/>
              </w:rPr>
              <w:t xml:space="preserve">Параметр</w:t>
            </w:r>
          </w:p>
        </w:tc>
        <w:tc>
          <w:tcPr>
            <w:tcW w:w="4700" w:type="dxa"/>
            <w:shd w:val="clear" w:fill="EFEFEF"/>
          </w:tcPr>
          <w:p>
            <w:r>
              <w:rPr>
                <w:b/>
                <w:sz w:val="18"/>
              </w:rPr>
              <w:t xml:space="preserve">Значение</w:t>
            </w:r>
          </w:p>
        </w:tc>
        <w:tc>
          <w:tcPr>
            <w:tcW w:w="1754" w:type="dxa"/>
            <w:shd w:val="clear" w:fill="EFEFEF"/>
          </w:tcPr>
          <w:p>
            <w:r>
              <w:rPr>
                <w:b/>
                <w:sz w:val="18"/>
              </w:rPr>
              <w:t xml:space="preserve">Источник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Агрегаты питания электрофильтров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80 кВ / 400 мА, потребление около 32 кВт на агрегат; рабочие точки полей 46,4 / 57,6 кВ; режим «ток на грани искрения»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349–351, 362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Расчётная мощность цеха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1,1–1,4 МВт — для запроса технических условий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оценка Исполнителя (сводная таблица электроприёмников — на стадии БИ)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Мощность трансформаторов (предварительно)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2 × 1000 кВА — уточняется по расчётной нагрузке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решение БИ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Нагрузка 6 кВ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дымосос 400 кВт (рабочий, второй — резервный с автоматическим включением резерва); воздуходувка — по выбранной машине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ИД ч.1 табл. 23 п. 387–391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Категории надёжности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I категория — дымососы, воздуходувка, питательные насосы котла, аварийное освещение; система автоматизации — I «особая» с источником бесперебойного питания не менее 10 мин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ПУЭ; Приложение №5 к ТЗ</w:t>
            </w:r>
          </w:p>
        </w:tc>
      </w:tr>
      <w:tr>
        <w:tc>
          <w:tcPr>
            <w:tcW w:w="2900" w:type="dxa"/>
          </w:tcPr>
          <w:p>
            <w:r>
              <w:rPr>
                <w:sz w:val="18"/>
              </w:rPr>
              <w:t xml:space="preserve">Компенсация реактивной мощности</w:t>
            </w:r>
          </w:p>
        </w:tc>
        <w:tc>
          <w:tcPr>
            <w:tcW w:w="4700" w:type="dxa"/>
          </w:tcPr>
          <w:p>
            <w:r>
              <w:rPr>
                <w:sz w:val="18"/>
              </w:rPr>
              <w:t xml:space="preserve">до коэффициента мощности не ниже 0,95</w:t>
            </w:r>
          </w:p>
        </w:tc>
        <w:tc>
          <w:tcPr>
            <w:tcW w:w="1754" w:type="dxa"/>
          </w:tcPr>
          <w:p>
            <w:r>
              <w:rPr>
                <w:sz w:val="18"/>
              </w:rPr>
              <w:t xml:space="preserve">требование сетевой организации (по техническим условиям)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11.3. Материальное исполнение</w:t>
      </w:r>
    </w:p>
    <w:p>
      <w:r>
        <w:rPr>
          <w:sz w:val="20"/>
        </w:rPr>
        <w:t xml:space="preserve">Шкафное и блочное исполнение; степень защиты и климатическое исполнение — по условиям размещения. Агрегаты питания устанавливаются с отдельным контуром заземления, ограждением и блокировкой доступа в изоляторные коробки. Оборудование и программное обеспечение автоматизации — производства Российской Федерации; отступления согласовываются с Заказчиком.</w:t>
      </w:r>
    </w:p>
    <w:p>
      <w:pPr>
        <w:pStyle w:val="Heading2"/>
      </w:pPr>
      <w:r>
        <w:rPr>
          <w:b/>
          <w:sz w:val="24"/>
        </w:rPr>
        <w:t xml:space="preserve">11.4. Цикл изготовления и состояние рынка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400"/>
        <w:gridCol w:w="5954"/>
      </w:tblGrid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Ориентировочный цикл изготовления и поставки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не менее 6–8 мес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Основание оценки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Типовой ориентир по критерию отнесения (раздел 1.3); в исходных данных срок не задан — подтверждается предложением изготовителя.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Определяющий фактор цикла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Изготовление высоковольтного оборудования под заказ по опросным листам после уточнения расчётных нагрузок; ограничение номенклатуры требованием производства Российской Федерации. При поставке агрегатов питания в комплекте с электрофильтрами цикл определяется циклом позиции ДЦ-3.</w:t>
            </w:r>
          </w:p>
        </w:tc>
      </w:tr>
      <w:tr>
        <w:tc>
          <w:tcPr>
            <w:tcW w:w="3400" w:type="dxa"/>
            <w:shd w:val="clear" w:fill="F7F7F7"/>
          </w:tcPr>
          <w:p>
            <w:r>
              <w:rPr>
                <w:b/>
                <w:sz w:val="19"/>
              </w:rPr>
              <w:t xml:space="preserve">Состояние рынка</w:t>
            </w:r>
          </w:p>
        </w:tc>
        <w:tc>
          <w:tcPr>
            <w:tcW w:w="5954" w:type="dxa"/>
          </w:tcPr>
          <w:p>
            <w:r>
              <w:rPr>
                <w:sz w:val="19"/>
              </w:rPr>
              <w:t xml:space="preserve">Рынок широкий: бюджетные предложения по позиции собираются штатной процедурой запроса.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11.5. Данные изготовителя для разработки Базового инжиниринга</w:t>
      </w:r>
    </w:p>
    <w:p>
      <w:r>
        <w:rPr>
          <w:sz w:val="20"/>
        </w:rPr>
        <w:t xml:space="preserve">Дополнительно к общему составу данных (раздел 3.4) изготовитель выдаёт:</w:t>
      </w:r>
    </w:p>
    <w:p>
      <w:r>
        <w:rPr>
          <w:sz w:val="20"/>
        </w:rPr>
        <w:t xml:space="preserve">— габариты и массы шкафов и блоков, нагрузки на основание, требования к помещениям агрегатных постов и подстанции — Т0 + 3,5 мес;</w:t>
      </w:r>
    </w:p>
    <w:p>
      <w:r>
        <w:rPr>
          <w:sz w:val="20"/>
        </w:rPr>
        <w:t xml:space="preserve">— тепловыделения оборудования и требования к вентиляции помещений — Т0 + 4,0 мес;</w:t>
      </w:r>
    </w:p>
    <w:p>
      <w:r>
        <w:rPr>
          <w:sz w:val="20"/>
        </w:rPr>
        <w:t xml:space="preserve">— характеристики преобразователя частоты: уровень высших гармоник, требования к сети и к электродвигателю, способ пуска — Т0 + 3,5 мес;</w:t>
      </w:r>
    </w:p>
    <w:p>
      <w:r>
        <w:rPr>
          <w:sz w:val="20"/>
        </w:rPr>
        <w:t xml:space="preserve">— схемы заземления, блокировок и заземляющих разъединителей агрегатов питания — Т0 + 4,0 мес;</w:t>
      </w:r>
    </w:p>
    <w:p>
      <w:r>
        <w:rPr>
          <w:sz w:val="20"/>
        </w:rPr>
        <w:t xml:space="preserve">— перечни сигналов и протоколы обмена с системой автоматизации (уставки, телеметрия полей, состояние вводов) — Т0 + 4,0 мес.</w:t>
      </w:r>
    </w:p>
    <w:p>
      <w:pPr>
        <w:pStyle w:val="Heading2"/>
      </w:pPr>
      <w:r>
        <w:rPr>
          <w:b/>
          <w:sz w:val="24"/>
        </w:rPr>
        <w:t xml:space="preserve">11.6. Контроль, приёмка и шеф-монтаж</w:t>
      </w:r>
    </w:p>
    <w:p>
      <w:r>
        <w:rPr>
          <w:sz w:val="20"/>
        </w:rPr>
        <w:t xml:space="preserve">— заводские приёмо-сдаточные испытания агрегатов питания, подстанции и преобразователя частоты;</w:t>
      </w:r>
    </w:p>
    <w:p>
      <w:r>
        <w:rPr>
          <w:sz w:val="20"/>
        </w:rPr>
        <w:t xml:space="preserve">— проверка блокировок доступа, цепей заземления и работы автоматического включения резерва после монтажа;</w:t>
      </w:r>
    </w:p>
    <w:p>
      <w:r>
        <w:rPr>
          <w:sz w:val="20"/>
        </w:rPr>
        <w:t xml:space="preserve">— измерение сопротивления изоляции и цепей заземления;</w:t>
      </w:r>
    </w:p>
    <w:p>
      <w:r>
        <w:rPr>
          <w:sz w:val="20"/>
        </w:rPr>
        <w:t xml:space="preserve">— наладка автоматики регулирования полей и снятие вольт-амперных характеристик совместно с приёмкой электрофильтров; наладка регулирования производительности дымососа;</w:t>
      </w:r>
    </w:p>
    <w:p>
      <w:r>
        <w:rPr>
          <w:sz w:val="20"/>
        </w:rPr>
        <w:t xml:space="preserve">— шеф-наладка, передача исполнительной документации и параметров настройки в систему автоматизации.</w:t>
      </w:r>
    </w:p>
    <w:p>
      <w:r>
        <w:rPr>
          <w:color w:val="666666"/>
          <w:sz w:val="17"/>
        </w:rPr>
        <w:t xml:space="preserve">Источник: ИД ч.1 табл. 23 п. 349–362, 387–391; раздел БИ по электроснабжению; Приложение №5 к ТЗ</w:t>
      </w:r>
    </w:p>
    <w:p>
      <w:pPr>
        <w:pStyle w:val="Heading1"/>
      </w:pPr>
      <w:r>
        <w:rPr>
          <w:b/>
          <w:sz w:val="28"/>
        </w:rPr>
        <w:t xml:space="preserve">12. График запроса предложений и выдачи исходных требований</w:t>
      </w:r>
    </w:p>
    <w:p>
      <w:r>
        <w:rPr>
          <w:sz w:val="20"/>
        </w:rPr>
        <w:t xml:space="preserve">График построен от даты начала работ по Базовому инжинирингу (Т0) и увязан с проектом этапности выдачи материалов: Этап 1 — 3 месяца от начала работ, Этап 2 — 3 месяца после завершения Этапа 1. Позиции длительного цикла вынесены в первую очередь выдачи, что позволяет Заказчику начать контрактацию до полного выпуска Базового инжиниринга.</w:t>
      </w:r>
    </w:p>
    <w:tbl>
      <w:tblPr>
        <w:tblW w:w="9354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600"/>
        <w:gridCol w:w="6200"/>
        <w:gridCol w:w="2554"/>
      </w:tblGrid>
      <w:tr>
        <w:tc>
          <w:tcPr>
            <w:tcW w:w="600" w:type="dxa"/>
            <w:shd w:val="clear" w:fill="EFEFEF"/>
          </w:tcPr>
          <w:p>
            <w:r>
              <w:rPr>
                <w:b/>
                <w:sz w:val="18"/>
              </w:rPr>
              <w:t xml:space="preserve">Шаг</w:t>
            </w:r>
          </w:p>
        </w:tc>
        <w:tc>
          <w:tcPr>
            <w:tcW w:w="6200" w:type="dxa"/>
            <w:shd w:val="clear" w:fill="EFEFEF"/>
          </w:tcPr>
          <w:p>
            <w:r>
              <w:rPr>
                <w:b/>
                <w:sz w:val="18"/>
              </w:rPr>
              <w:t xml:space="preserve">Содержание</w:t>
            </w:r>
          </w:p>
        </w:tc>
        <w:tc>
          <w:tcPr>
            <w:tcW w:w="2554" w:type="dxa"/>
            <w:shd w:val="clear" w:fill="EFEFEF"/>
          </w:tcPr>
          <w:p>
            <w:r>
              <w:rPr>
                <w:b/>
                <w:sz w:val="18"/>
              </w:rPr>
              <w:t xml:space="preserve">Срок от Т0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1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Согласование с Заказчиком перечня основного оборудования и позиций длительного цикла; получение форм опросных листов Заказчика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… Т0 + 1,0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2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опросных листов и исходных требований по позициям длительного цикла — первая очередь поэтапной выдачи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+ 1,0 … 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3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Рассылка запросов технико-коммерческих предложений по позициям длительного цикла — не менее двух-трёх изготовителей на позицию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+ 1,5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4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Приём предложений, техническая проверка, уточняющие запросы и приведение предложений к сопоставимому виду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+ 2,0 … 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5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1 Базового инжиниринга, включая настоящий документ в ревизии по данным предложений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6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Передача данных изготовителей в разделы конструкций, фундаментов, монтажа, электроснабжения и автоматизации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+ 3,5 … Т0 + 4,0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7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Выпуск Этапа 2 Базового инжиниринга; бюджетная оценка комплектной поставки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Т0 + 6,0 мес</w:t>
            </w:r>
          </w:p>
        </w:tc>
      </w:tr>
      <w:tr>
        <w:tc>
          <w:tcPr>
            <w:tcW w:w="600" w:type="dxa"/>
          </w:tcPr>
          <w:p>
            <w:r>
              <w:rPr>
                <w:sz w:val="18"/>
              </w:rPr>
              <w:t xml:space="preserve">8</w:t>
            </w:r>
          </w:p>
        </w:tc>
        <w:tc>
          <w:tcPr>
            <w:tcW w:w="6200" w:type="dxa"/>
          </w:tcPr>
          <w:p>
            <w:r>
              <w:rPr>
                <w:sz w:val="18"/>
              </w:rPr>
              <w:t xml:space="preserve">Подготовка технической части договоров на позиции длительного цикла; контрактация Заказчиком</w:t>
            </w:r>
          </w:p>
        </w:tc>
        <w:tc>
          <w:tcPr>
            <w:tcW w:w="2554" w:type="dxa"/>
          </w:tcPr>
          <w:p>
            <w:r>
              <w:rPr>
                <w:sz w:val="18"/>
              </w:rPr>
              <w:t xml:space="preserve">по решению Заказчика — после выпуска Этапа 1</w:t>
            </w:r>
          </w:p>
        </w:tc>
      </w:tr>
    </w:tbl>
    <w:p>
      <w:pPr>
        <w:pStyle w:val="Heading2"/>
      </w:pPr>
      <w:r>
        <w:rPr>
          <w:b/>
          <w:sz w:val="24"/>
        </w:rPr>
        <w:t xml:space="preserve">12.1. Требования к содержанию предложений</w:t>
      </w:r>
    </w:p>
    <w:p>
      <w:r>
        <w:rPr>
          <w:sz w:val="20"/>
        </w:rPr>
        <w:t xml:space="preserve">Технико-коммерческое предложение по позиции длительного цикла принимается к оценке при выполнении следующих условий:</w:t>
      </w:r>
    </w:p>
    <w:p>
      <w:r>
        <w:rPr>
          <w:sz w:val="20"/>
        </w:rPr>
        <w:t xml:space="preserve">— указан материал контактных частей с маркой и нормативной документацией поставки;</w:t>
      </w:r>
    </w:p>
    <w:p>
      <w:r>
        <w:rPr>
          <w:sz w:val="20"/>
        </w:rPr>
        <w:t xml:space="preserve">— срок изготовления и поставки указан письменно, с расшифровкой по этапам (разработка конструкторской документации, изготовление, испытания, отгрузка, доставка) и с указанием условий действительности срока;</w:t>
      </w:r>
    </w:p>
    <w:p>
      <w:r>
        <w:rPr>
          <w:sz w:val="20"/>
        </w:rPr>
        <w:t xml:space="preserve">— приведены масса изделия, членение на поставочные блоки и транспортные габариты;</w:t>
      </w:r>
    </w:p>
    <w:p>
      <w:r>
        <w:rPr>
          <w:sz w:val="20"/>
        </w:rPr>
        <w:t xml:space="preserve">— референс подтверждён по продукту и среде применения, а не по классу оборудования;</w:t>
      </w:r>
    </w:p>
    <w:p>
      <w:r>
        <w:rPr>
          <w:sz w:val="20"/>
        </w:rPr>
        <w:t xml:space="preserve">— по каждой позиции прорабатывается не менее одного российского изготовителя;</w:t>
      </w:r>
    </w:p>
    <w:p>
      <w:r>
        <w:rPr>
          <w:sz w:val="20"/>
        </w:rPr>
        <w:t xml:space="preserve">— указаны объём шеф-монтажа, пусконаладки, обучения и состав запасных частей.</w:t>
      </w:r>
    </w:p>
    <w:p>
      <w:r>
        <w:rPr>
          <w:sz w:val="20"/>
        </w:rPr>
        <w:t xml:space="preserve">Сроки изготовления и условия логистики, подтверждённые предложениями, вносятся в настоящий документ при следующей ревизии и используются при формировании бюджетной оценки комплектной поставки (ОВЭ75-БИ-Л1-СТ).</w:t>
      </w:r>
    </w:p>
    <w:p>
      <w:r>
        <w:rPr>
          <w:color w:val="666666"/>
          <w:sz w:val="17"/>
        </w:rPr>
        <w:t xml:space="preserve">Источник: ТЗ на БИ ред. 4.1 (порядок формирования стоимости поставки); проект этапности от 25.08.2026; правила запроса предложений, принятые в Базовом инжиниринге</w:t>
      </w:r>
    </w:p>
    <w:p>
      <w:pPr>
        <w:pStyle w:val="Heading1"/>
      </w:pPr>
      <w:r>
        <w:rPr>
          <w:b/>
          <w:sz w:val="28"/>
        </w:rPr>
        <w:t xml:space="preserve">13. Открытые позиции</w:t>
      </w:r>
    </w:p>
    <w:p>
      <w:r>
        <w:rPr>
          <w:sz w:val="20"/>
        </w:rPr>
        <w:t xml:space="preserve">Ниже перечислено то, что определяется на стадии Базового инжиниринга, уточняется по предложениям изготовителей либо требует решения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Статус проекта печи кипящего слоя (права на конструкторскую документацию, актуализация под изготовителя Российской Федерации) — решение Заказчика.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Формы опросных листов Заказчика — запрашиваются до выпуска комплекта опросных листов и запросов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Сроки изготовления по всем позициям — подтверждаются письменно в технико-коммерческих предложениях; приведённые в настоящем документе значения являются ориентирами.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Массы, центры тяжести и разбивка на монтажные блоки котла-утилизатора, печи, холодильников и воздуходувки — по конструкторской документации заводов; ведомость монтажных блоков выпускается итерацией после получения предложений.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Тип дутьевой воздуходувки и её паспортные динамические нагрузки — по результатам выбора машины; до выбора в планах фундаментов резервируется блок с допуском по массе.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Аналоги шнековых холодильников российского производства — прорабатываются на стадии Базового инжиниринга; при переходе на аналог выпускается задание на изготовление.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Способ доставки силосной башни объёмом 100 м³ (цельная обечайка или полистовая сборка) — логистическая проработка совместно с изготовителем.</w:t>
      </w:r>
    </w:p>
    <w:p>
      <w:r>
        <w:rPr>
          <w:b/>
          <w:color w:val="8A6200"/>
          <w:sz w:val="19"/>
        </w:rPr>
        <w:t xml:space="preserve">Определяется на стадии БИ: </w:t>
      </w:r>
      <w:r>
        <w:rPr>
          <w:sz w:val="19"/>
        </w:rPr>
        <w:t xml:space="preserve">Границы поставки электрооборудования (до или после комплектной подстанции) — после согласования объёма Приложения №3 к ТЗ.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l1 dc</dc:title>
  <dc:creator>ООО «КВАНТ»</dc:creator>
  <cp:lastModifiedBy>ООО «КВАНТ»</cp:lastModifiedBy>
  <dcterms:created xsi:type="dcterms:W3CDTF">2026-09-02T09:00:00Z</dcterms:created>
  <dcterms:modified xsi:type="dcterms:W3CDTF">2026-09-02T09:00:00Z</dcterms:modified>
</cp:coreProperties>
</file>