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28.08.2026.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Актуальная редакция реестра с теми же номерами ведётся Исполнителем и передаётся Заказчику по мере пополнения; решения, зафиксированные на рабочей встрече, попадают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100 — блокирующих 7, существенных 39, формальных 54; решено 0. Плюс 11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составе Лота 1 «в автоцементовозы» вычеркнуто (зачёркнутое = исключено), способ транспортировки — при ОТР; конфликт 70 °С против 65 °С актуализируется, только если транспорт подтвердят автоцементовозами (C-95)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базис — новое строительство (п.1.3; пометки базиса в таблице объектов вычеркнуты), но в перечне приложений остались обмерные Прил.№6/№7 существующих зданий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6 – Существующее здание Цеха электролиза меди (ЦЭМ). … 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v4.1, «Перечень приложений» (пометки «(новое строительство)»/«(существующие здания)» в таблице объектов v4.1 вычеркнуты)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правилу «зачёркнутое = исключено» v4.1 сняла пометки базиса в таблице объектов, и базис остаётся один — п.1.3: новое строительство всех объектов комплекса на свободной территории. При этом в перечне приложений сохранены обмерные Прил.№6 (здание ЦЭМ) и №7 (здание ГМУ) «существующих зданий» — их статус при новом строительстве не определён. Сам «вариант размещения, принятый Заказчиком» в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протоколом: базис всех лотов — новое строительство (п.1.3); статус Прил.№6/№7 — справочные (не применяются) либо исключить; передать «вариант размещения» (генплан)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 [Правка 25.08: при первичном прочтении вычеркнутая строка учитывалась как действующая; по правилу «зачёркнутое = исключено» противоречия нет — действует только «Бюджетные ТКП по основному оборудованию».]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снято по правило чтения v4.1 «зачёркнутое = исключено» (принято 25.08.2026, подтвердить протоколом с Заказчиком): строка «не менее 2-х – 3-х на каждую позицию» в v4.1 вычеркнута — действуют только бюджетные ТКП по основному оборудованию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(54)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 — материал указан четырежды как «12Х1812Т»: табл. 24 трижды (циклон СЦН-50-1800×1УП, электрофильтр УГТ1-20-4, дымосос ДН-15БНЖ) и табл. 23 п. 311 (материал для изготовления циклона)»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 125 (винтовой конвейер УКВ-200-Ц-60) — единственное корректное написание: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 (ТЗ v3.6, стр. 151 файла)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 же таблица, следующая строка (ТЗ v3.6, стр. 152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 На пункт 3.3 завязаны состав оборудования (стр. 165) и оценка стоимости (стр. 223).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 (пометка «(существующие здания)» в v4.1 вычеркнута)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v4.1 пометка «(существующие здания)» вычеркнута; тройное имя объекта (цех / участок ГМУ / «Минпрок») сохраняется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«в автоцементовозы» вычеркнуто из состава Лота №1, но осталось в описательной части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«Отгрузка огарка и «грубой» пыли из бункера предусматривается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описание технологии Цеха обжига (то же — для «тонкой» пыли); в составе оборудования Лота №1 слова «в автоцементовозы» вычеркнуты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Состав Лота №1 приведён к «способ транспортировки определяется при разработке ОТР» (автоцементовозы вычеркнуты) — принято. В описательной части остались два упоминания автоцементовозов — рудимент правки. Конфликт температур (70 °С на выгрузке против допуска цементовоза 65 °С, C-54) актуализируется, только если при ОТР транспорт подтвердят автоцементовозами.</w:t>
      </w:r>
    </w:p>
    <w:p>
      <w:r>
        <w:rPr>
          <w:b/>
        </w:rPr>
        <w:t xml:space="preserve">Вопрос Заказчику: </w:t>
      </w:r>
      <w:r>
        <w:t xml:space="preserve">Вычистить оставшиеся упоминания автоцементовозов из описательной части (либо подтвердить их как принятое решение — тогда см. C-54).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нероссийского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Закрыт ТЗ v4.1 от 25.08.2026: п.1.3 —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(зачёркнутое = исключено) — базис един для всех лотов. Открытыми остаются статус обмерных Прил.№6/№7 (C-94) и выдача генплана (Q-10).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reestr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