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HR Dashboard</w:t>
      </w:r>
    </w:p>
    <w:p>
      <w:pPr>
        <w:spacing w:after="300"/>
      </w:pPr>
      <w:r>
        <w:rPr>
          <w:color w:val="666666"/>
          <w:sz w:val="26"/>
          <w:szCs w:val="26"/>
        </w:rPr>
        <w:t xml:space="preserve">Chart Inventory &amp; Tooltip Design Report</w:t>
      </w:r>
    </w:p>
    <w:p>
      <w:pPr>
        <w:pBdr>
          <w:bottom w:val="single" w:color="1F3864" w:sz="8" w:space="4"/>
        </w:pBdr>
        <w:spacing w:after="300"/>
      </w:pPr>
      <w:r>
        <w:t xml:space="preserve"/>
      </w:r>
    </w:p>
    <w:p>
      <w:pPr>
        <w:pStyle w:val="Heading1"/>
        <w:spacing w:after="160" w:before="320"/>
      </w:pPr>
      <w:r>
        <w:rPr>
          <w:b/>
          <w:bCs/>
          <w:color w:val="1F3864"/>
          <w:sz w:val="30"/>
          <w:szCs w:val="30"/>
        </w:rPr>
        <w:t xml:space="preserve">1. Overview</w:t>
      </w:r>
    </w:p>
    <w:p>
      <w:pPr>
        <w:spacing w:after="160" w:line="276"/>
      </w:pPr>
      <w:r>
        <w:rPr>
          <w:sz w:val="21"/>
          <w:szCs w:val="21"/>
        </w:rPr>
        <w:t xml:space="preserve">This report walks through every chart in the “Summary Dash” dashboard (Hr Dashboard.twbx), what each one is showing, and how attrition specifically is represented. It then explains how the workbook's tooltips are designed so that non-technical viewers can understand every chart without needing to know Tableau or the underlying field names.</w:t>
      </w:r>
    </w:p>
    <w:p>
      <w:pPr>
        <w:spacing w:after="160" w:line="276"/>
      </w:pPr>
      <w:r>
        <w:rPr>
          <w:sz w:val="21"/>
          <w:szCs w:val="21"/>
        </w:rPr>
        <w:t xml:space="preserve">The dashboard is built on a single data source, “HumanResources,” with one row per employee (hire date, termination date, department, job title, salary, performance rating, gender, education level, age, and location).</w:t>
      </w:r>
    </w:p>
    <w:p>
      <w:pPr>
        <w:pStyle w:val="Heading1"/>
        <w:spacing w:after="160" w:before="320"/>
      </w:pPr>
      <w:r>
        <w:rPr>
          <w:b/>
          <w:bCs/>
          <w:color w:val="1F3864"/>
          <w:sz w:val="30"/>
          <w:szCs w:val="30"/>
        </w:rPr>
        <w:t xml:space="preserve">2. Where Attrition Is Shown</w:t>
      </w:r>
    </w:p>
    <w:p>
      <w:pPr>
        <w:spacing w:after="160" w:line="276"/>
      </w:pPr>
      <w:r>
        <w:rPr>
          <w:sz w:val="21"/>
          <w:szCs w:val="21"/>
        </w:rPr>
        <w:t xml:space="preserve">There is no chart literally titled “Attrition.” Instead, attrition is tracked through termination data, in two places on the dashboard:</w:t>
      </w:r>
    </w:p>
    <w:p>
      <w:pPr>
        <w:pStyle w:val="ListParagraph"/>
        <w:numPr>
          <w:ilvl w:val="0"/>
          <w:numId w:val="1"/>
        </w:numPr>
        <w:spacing w:after="80"/>
      </w:pPr>
      <w:r>
        <w:rPr>
          <w:sz w:val="21"/>
          <w:szCs w:val="21"/>
        </w:rPr>
        <w:t xml:space="preserve">BAN Terminated — a single big number showing the total count of employees who have a termination date on file. This is the headline attrition figure.</w:t>
      </w:r>
    </w:p>
    <w:p>
      <w:pPr>
        <w:pStyle w:val="ListParagraph"/>
        <w:numPr>
          <w:ilvl w:val="0"/>
          <w:numId w:val="1"/>
        </w:numPr>
        <w:spacing w:after="80"/>
      </w:pPr>
      <w:r>
        <w:rPr>
          <w:sz w:val="21"/>
          <w:szCs w:val="21"/>
        </w:rPr>
        <w:t xml:space="preserve">Terminated By Year — a line-and-area chart directly below the big number, breaking that same terminated count down year by year. This is the chart to check for an attrition trend (rising, falling, or flat).</w:t>
      </w:r>
    </w:p>
    <w:p>
      <w:pPr>
        <w:spacing w:after="160" w:line="276"/>
      </w:pPr>
      <w:r>
        <w:rPr>
          <w:sz w:val="21"/>
          <w:szCs w:val="21"/>
        </w:rPr>
        <w:t xml:space="preserve">Both sit together in the dashboard's “Term KPI” section, right next to the equivalent “BAN Hired” and “Hired By Year” charts — so hiring and attrition can be compared side by side at a glance.</w:t>
      </w:r>
    </w:p>
    <w:p>
      <w:pPr>
        <w:pStyle w:val="Heading1"/>
        <w:spacing w:after="160" w:before="320"/>
      </w:pPr>
      <w:r>
        <w:rPr>
          <w:b/>
          <w:bCs/>
          <w:color w:val="1F3864"/>
          <w:sz w:val="30"/>
          <w:szCs w:val="30"/>
        </w:rPr>
        <w:t xml:space="preserve">3. Full Chart Inventory</w:t>
      </w:r>
    </w:p>
    <w:p>
      <w:pPr>
        <w:spacing w:after="160" w:line="276"/>
      </w:pPr>
      <w:r>
        <w:rPr>
          <w:sz w:val="21"/>
          <w:szCs w:val="21"/>
        </w:rPr>
        <w:t xml:space="preserve">All charts below are live on the dashboard, grouped by the order they appear on screen (header KPIs, then Departments, Location, Demographics, and Income).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6100"/>
      </w:tblGrid>
      <w:tr>
        <w:tc>
          <w:tcPr>
            <w:tcW w:type="dxa" w:w="1750"/>
            <w:shd w:fill="1F3864" w:val="clear"/>
            <w:tcMar>
              <w:top w:type="dxa" w:w="100"/>
              <w:left w:type="dxa" w:w="120"/>
              <w:bottom w:type="dxa" w:w="100"/>
              <w:right w:type="dxa" w:w="120"/>
            </w:tcMar>
          </w:tcPr>
          <w:p>
            <w:r>
              <w:rPr>
                <w:b/>
                <w:bCs/>
                <w:color w:val="FFFFFF"/>
                <w:sz w:val="19"/>
                <w:szCs w:val="19"/>
              </w:rPr>
              <w:t xml:space="preserve">Chart Name</w:t>
            </w:r>
          </w:p>
        </w:tc>
        <w:tc>
          <w:tcPr>
            <w:tcW w:type="dxa" w:w="1500"/>
            <w:shd w:fill="1F3864" w:val="clear"/>
            <w:tcMar>
              <w:top w:type="dxa" w:w="100"/>
              <w:left w:type="dxa" w:w="120"/>
              <w:bottom w:type="dxa" w:w="100"/>
              <w:right w:type="dxa" w:w="120"/>
            </w:tcMar>
          </w:tcPr>
          <w:p>
            <w:r>
              <w:rPr>
                <w:b/>
                <w:bCs/>
                <w:color w:val="FFFFFF"/>
                <w:sz w:val="19"/>
                <w:szCs w:val="19"/>
              </w:rPr>
              <w:t xml:space="preserve">Chart Type</w:t>
            </w:r>
          </w:p>
        </w:tc>
        <w:tc>
          <w:tcPr>
            <w:tcW w:type="dxa" w:w="6100"/>
            <w:shd w:fill="1F3864" w:val="clear"/>
            <w:tcMar>
              <w:top w:type="dxa" w:w="100"/>
              <w:left w:type="dxa" w:w="120"/>
              <w:bottom w:type="dxa" w:w="100"/>
              <w:right w:type="dxa" w:w="120"/>
            </w:tcMar>
          </w:tcPr>
          <w:p>
            <w:r>
              <w:rPr>
                <w:b/>
                <w:bCs/>
                <w:color w:val="FFFFFF"/>
                <w:sz w:val="19"/>
                <w:szCs w:val="19"/>
              </w:rPr>
              <w:t xml:space="preserve">What It Shows</w:t>
            </w:r>
          </w:p>
        </w:tc>
      </w:tr>
      <w:tr>
        <w:tc>
          <w:tcPr>
            <w:tcW w:type="dxa" w:w="1750"/>
            <w:tcMar>
              <w:top w:type="dxa" w:w="100"/>
              <w:left w:type="dxa" w:w="120"/>
              <w:bottom w:type="dxa" w:w="100"/>
              <w:right w:type="dxa" w:w="120"/>
            </w:tcMar>
          </w:tcPr>
          <w:p>
            <w:r>
              <w:rPr>
                <w:b w:val="false"/>
                <w:bCs w:val="false"/>
                <w:color w:val="000000"/>
                <w:sz w:val="19"/>
                <w:szCs w:val="19"/>
              </w:rPr>
              <w:t xml:space="preserve">BAN Active</w:t>
            </w:r>
          </w:p>
        </w:tc>
        <w:tc>
          <w:tcPr>
            <w:tcW w:type="dxa" w:w="1500"/>
            <w:tcMar>
              <w:top w:type="dxa" w:w="100"/>
              <w:left w:type="dxa" w:w="120"/>
              <w:bottom w:type="dxa" w:w="100"/>
              <w:right w:type="dxa" w:w="120"/>
            </w:tcMar>
          </w:tcPr>
          <w:p>
            <w:r>
              <w:rPr>
                <w:b w:val="false"/>
                <w:bCs w:val="false"/>
                <w:color w:val="000000"/>
                <w:sz w:val="19"/>
                <w:szCs w:val="19"/>
              </w:rPr>
              <w:t xml:space="preserve">Big-number (Text)</w:t>
            </w:r>
          </w:p>
        </w:tc>
        <w:tc>
          <w:tcPr>
            <w:tcW w:type="dxa" w:w="6100"/>
            <w:tcMar>
              <w:top w:type="dxa" w:w="100"/>
              <w:left w:type="dxa" w:w="120"/>
              <w:bottom w:type="dxa" w:w="100"/>
              <w:right w:type="dxa" w:w="120"/>
            </w:tcMar>
          </w:tcPr>
          <w:p>
            <w:r>
              <w:rPr>
                <w:b w:val="false"/>
                <w:bCs w:val="false"/>
                <w:color w:val="000000"/>
                <w:sz w:val="19"/>
                <w:szCs w:val="19"/>
              </w:rPr>
              <w:t xml:space="preserve">Single KPI number — total number of currently active employees.</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BAN Hired</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Big-number (Text)</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Single KPI number — total number of employees ever hired (all-time headcount).</w:t>
            </w:r>
          </w:p>
        </w:tc>
      </w:tr>
      <w:tr>
        <w:tc>
          <w:tcPr>
            <w:tcW w:type="dxa" w:w="1750"/>
            <w:tcMar>
              <w:top w:type="dxa" w:w="100"/>
              <w:left w:type="dxa" w:w="120"/>
              <w:bottom w:type="dxa" w:w="100"/>
              <w:right w:type="dxa" w:w="120"/>
            </w:tcMar>
          </w:tcPr>
          <w:p>
            <w:r>
              <w:rPr>
                <w:b w:val="false"/>
                <w:bCs w:val="false"/>
                <w:color w:val="000000"/>
                <w:sz w:val="19"/>
                <w:szCs w:val="19"/>
              </w:rPr>
              <w:t xml:space="preserve">BAN Terminated</w:t>
            </w:r>
          </w:p>
        </w:tc>
        <w:tc>
          <w:tcPr>
            <w:tcW w:type="dxa" w:w="1500"/>
            <w:tcMar>
              <w:top w:type="dxa" w:w="100"/>
              <w:left w:type="dxa" w:w="120"/>
              <w:bottom w:type="dxa" w:w="100"/>
              <w:right w:type="dxa" w:w="120"/>
            </w:tcMar>
          </w:tcPr>
          <w:p>
            <w:r>
              <w:rPr>
                <w:b w:val="false"/>
                <w:bCs w:val="false"/>
                <w:color w:val="000000"/>
                <w:sz w:val="19"/>
                <w:szCs w:val="19"/>
              </w:rPr>
              <w:t xml:space="preserve">Big-number (Text)</w:t>
            </w:r>
          </w:p>
        </w:tc>
        <w:tc>
          <w:tcPr>
            <w:tcW w:type="dxa" w:w="6100"/>
            <w:tcMar>
              <w:top w:type="dxa" w:w="100"/>
              <w:left w:type="dxa" w:w="120"/>
              <w:bottom w:type="dxa" w:w="100"/>
              <w:right w:type="dxa" w:w="120"/>
            </w:tcMar>
          </w:tcPr>
          <w:p>
            <w:r>
              <w:rPr>
                <w:b w:val="false"/>
                <w:bCs w:val="false"/>
                <w:color w:val="000000"/>
                <w:sz w:val="19"/>
                <w:szCs w:val="19"/>
              </w:rPr>
              <w:t xml:space="preserve">Single KPI number — total number of employees with a termination date recorded. This is the core attrition count.</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Hired By Year</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Line + Area combo</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Trend of new hires by year, so hiring pace can be compared year over year.</w:t>
            </w:r>
          </w:p>
        </w:tc>
      </w:tr>
      <w:tr>
        <w:tc>
          <w:tcPr>
            <w:tcW w:type="dxa" w:w="1750"/>
            <w:tcMar>
              <w:top w:type="dxa" w:w="100"/>
              <w:left w:type="dxa" w:w="120"/>
              <w:bottom w:type="dxa" w:w="100"/>
              <w:right w:type="dxa" w:w="120"/>
            </w:tcMar>
          </w:tcPr>
          <w:p>
            <w:r>
              <w:rPr>
                <w:b w:val="false"/>
                <w:bCs w:val="false"/>
                <w:color w:val="000000"/>
                <w:sz w:val="19"/>
                <w:szCs w:val="19"/>
              </w:rPr>
              <w:t xml:space="preserve">Terminated By Year</w:t>
            </w:r>
          </w:p>
        </w:tc>
        <w:tc>
          <w:tcPr>
            <w:tcW w:type="dxa" w:w="1500"/>
            <w:tcMar>
              <w:top w:type="dxa" w:w="100"/>
              <w:left w:type="dxa" w:w="120"/>
              <w:bottom w:type="dxa" w:w="100"/>
              <w:right w:type="dxa" w:w="120"/>
            </w:tcMar>
          </w:tcPr>
          <w:p>
            <w:r>
              <w:rPr>
                <w:b w:val="false"/>
                <w:bCs w:val="false"/>
                <w:color w:val="000000"/>
                <w:sz w:val="19"/>
                <w:szCs w:val="19"/>
              </w:rPr>
              <w:t xml:space="preserve">Line + Area combo</w:t>
            </w:r>
          </w:p>
        </w:tc>
        <w:tc>
          <w:tcPr>
            <w:tcW w:type="dxa" w:w="6100"/>
            <w:tcMar>
              <w:top w:type="dxa" w:w="100"/>
              <w:left w:type="dxa" w:w="120"/>
              <w:bottom w:type="dxa" w:w="100"/>
              <w:right w:type="dxa" w:w="120"/>
            </w:tcMar>
          </w:tcPr>
          <w:p>
            <w:r>
              <w:rPr>
                <w:b w:val="false"/>
                <w:bCs w:val="false"/>
                <w:color w:val="000000"/>
                <w:sz w:val="19"/>
                <w:szCs w:val="19"/>
              </w:rPr>
              <w:t xml:space="preserve">Trend of terminations by year — the attrition trend chart. Shows whether attrition is rising, falling, or steady over time.</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Departments</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Horizontal bar</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Headcount broken down by department, ranked so the largest departments stand out.</w:t>
            </w:r>
          </w:p>
        </w:tc>
      </w:tr>
      <w:tr>
        <w:tc>
          <w:tcPr>
            <w:tcW w:type="dxa" w:w="1750"/>
            <w:tcMar>
              <w:top w:type="dxa" w:w="100"/>
              <w:left w:type="dxa" w:w="120"/>
              <w:bottom w:type="dxa" w:w="100"/>
              <w:right w:type="dxa" w:w="120"/>
            </w:tcMar>
          </w:tcPr>
          <w:p>
            <w:r>
              <w:rPr>
                <w:b w:val="false"/>
                <w:bCs w:val="false"/>
                <w:color w:val="000000"/>
                <w:sz w:val="19"/>
                <w:szCs w:val="19"/>
              </w:rPr>
              <w:t xml:space="preserve">Location</w:t>
            </w:r>
          </w:p>
        </w:tc>
        <w:tc>
          <w:tcPr>
            <w:tcW w:type="dxa" w:w="1500"/>
            <w:tcMar>
              <w:top w:type="dxa" w:w="100"/>
              <w:left w:type="dxa" w:w="120"/>
              <w:bottom w:type="dxa" w:w="100"/>
              <w:right w:type="dxa" w:w="120"/>
            </w:tcMar>
          </w:tcPr>
          <w:p>
            <w:r>
              <w:rPr>
                <w:b w:val="false"/>
                <w:bCs w:val="false"/>
                <w:color w:val="000000"/>
                <w:sz w:val="19"/>
                <w:szCs w:val="19"/>
              </w:rPr>
              <w:t xml:space="preserve">Horizontal bar</w:t>
            </w:r>
          </w:p>
        </w:tc>
        <w:tc>
          <w:tcPr>
            <w:tcW w:type="dxa" w:w="6100"/>
            <w:tcMar>
              <w:top w:type="dxa" w:w="100"/>
              <w:left w:type="dxa" w:w="120"/>
              <w:bottom w:type="dxa" w:w="100"/>
              <w:right w:type="dxa" w:w="120"/>
            </w:tcMar>
          </w:tcPr>
          <w:p>
            <w:r>
              <w:rPr>
                <w:b w:val="false"/>
                <w:bCs w:val="false"/>
                <w:color w:val="000000"/>
                <w:sz w:val="19"/>
                <w:szCs w:val="19"/>
              </w:rPr>
              <w:t xml:space="preserve">Headcount broken down by work location/city.</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Map States</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Filled map (US states)</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Geographic view of headcount and active employees by state.</w:t>
            </w:r>
          </w:p>
        </w:tc>
      </w:tr>
      <w:tr>
        <w:tc>
          <w:tcPr>
            <w:tcW w:type="dxa" w:w="1750"/>
            <w:tcMar>
              <w:top w:type="dxa" w:w="100"/>
              <w:left w:type="dxa" w:w="120"/>
              <w:bottom w:type="dxa" w:w="100"/>
              <w:right w:type="dxa" w:w="120"/>
            </w:tcMar>
          </w:tcPr>
          <w:p>
            <w:r>
              <w:rPr>
                <w:b w:val="false"/>
                <w:bCs w:val="false"/>
                <w:color w:val="000000"/>
                <w:sz w:val="19"/>
                <w:szCs w:val="19"/>
              </w:rPr>
              <w:t xml:space="preserve">Gender</w:t>
            </w:r>
          </w:p>
        </w:tc>
        <w:tc>
          <w:tcPr>
            <w:tcW w:type="dxa" w:w="1500"/>
            <w:tcMar>
              <w:top w:type="dxa" w:w="100"/>
              <w:left w:type="dxa" w:w="120"/>
              <w:bottom w:type="dxa" w:w="100"/>
              <w:right w:type="dxa" w:w="120"/>
            </w:tcMar>
          </w:tcPr>
          <w:p>
            <w:r>
              <w:rPr>
                <w:b w:val="false"/>
                <w:bCs w:val="false"/>
                <w:color w:val="000000"/>
                <w:sz w:val="19"/>
                <w:szCs w:val="19"/>
              </w:rPr>
              <w:t xml:space="preserve">Pie</w:t>
            </w:r>
          </w:p>
        </w:tc>
        <w:tc>
          <w:tcPr>
            <w:tcW w:type="dxa" w:w="6100"/>
            <w:tcMar>
              <w:top w:type="dxa" w:w="100"/>
              <w:left w:type="dxa" w:w="120"/>
              <w:bottom w:type="dxa" w:w="100"/>
              <w:right w:type="dxa" w:w="120"/>
            </w:tcMar>
          </w:tcPr>
          <w:p>
            <w:r>
              <w:rPr>
                <w:b w:val="false"/>
                <w:bCs w:val="false"/>
                <w:color w:val="000000"/>
                <w:sz w:val="19"/>
                <w:szCs w:val="19"/>
              </w:rPr>
              <w:t xml:space="preserve">Employee headcount split by gender.</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Age Groups</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Bar (max highlighted)</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Headcount by age bracket (e.g., 20-29, 30-39...), with the largest bracket highlighted.</w:t>
            </w:r>
          </w:p>
        </w:tc>
      </w:tr>
      <w:tr>
        <w:tc>
          <w:tcPr>
            <w:tcW w:type="dxa" w:w="1750"/>
            <w:tcMar>
              <w:top w:type="dxa" w:w="100"/>
              <w:left w:type="dxa" w:w="120"/>
              <w:bottom w:type="dxa" w:w="100"/>
              <w:right w:type="dxa" w:w="120"/>
            </w:tcMar>
          </w:tcPr>
          <w:p>
            <w:r>
              <w:rPr>
                <w:b w:val="false"/>
                <w:bCs w:val="false"/>
                <w:color w:val="000000"/>
                <w:sz w:val="19"/>
                <w:szCs w:val="19"/>
              </w:rPr>
              <w:t xml:space="preserve">Age vs Education</w:t>
            </w:r>
          </w:p>
        </w:tc>
        <w:tc>
          <w:tcPr>
            <w:tcW w:type="dxa" w:w="1500"/>
            <w:tcMar>
              <w:top w:type="dxa" w:w="100"/>
              <w:left w:type="dxa" w:w="120"/>
              <w:bottom w:type="dxa" w:w="100"/>
              <w:right w:type="dxa" w:w="120"/>
            </w:tcMar>
          </w:tcPr>
          <w:p>
            <w:r>
              <w:rPr>
                <w:b w:val="false"/>
                <w:bCs w:val="false"/>
                <w:color w:val="000000"/>
                <w:sz w:val="19"/>
                <w:szCs w:val="19"/>
              </w:rPr>
              <w:t xml:space="preserve">Scatter (circle marks)</w:t>
            </w:r>
          </w:p>
        </w:tc>
        <w:tc>
          <w:tcPr>
            <w:tcW w:type="dxa" w:w="6100"/>
            <w:tcMar>
              <w:top w:type="dxa" w:w="100"/>
              <w:left w:type="dxa" w:w="120"/>
              <w:bottom w:type="dxa" w:w="100"/>
              <w:right w:type="dxa" w:w="120"/>
            </w:tcMar>
          </w:tcPr>
          <w:p>
            <w:r>
              <w:rPr>
                <w:b w:val="false"/>
                <w:bCs w:val="false"/>
                <w:color w:val="000000"/>
                <w:sz w:val="19"/>
                <w:szCs w:val="19"/>
              </w:rPr>
              <w:t xml:space="preserve">Relationship between employee age and education level.</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Education level</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Bar (max highlighted)</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Headcount by highest education level attained.</w:t>
            </w:r>
          </w:p>
        </w:tc>
      </w:tr>
      <w:tr>
        <w:tc>
          <w:tcPr>
            <w:tcW w:type="dxa" w:w="1750"/>
            <w:tcMar>
              <w:top w:type="dxa" w:w="100"/>
              <w:left w:type="dxa" w:w="120"/>
              <w:bottom w:type="dxa" w:w="100"/>
              <w:right w:type="dxa" w:w="120"/>
            </w:tcMar>
          </w:tcPr>
          <w:p>
            <w:r>
              <w:rPr>
                <w:b w:val="false"/>
                <w:bCs w:val="false"/>
                <w:color w:val="000000"/>
                <w:sz w:val="19"/>
                <w:szCs w:val="19"/>
              </w:rPr>
              <w:t xml:space="preserve">Education vs Performance</w:t>
            </w:r>
          </w:p>
        </w:tc>
        <w:tc>
          <w:tcPr>
            <w:tcW w:type="dxa" w:w="1500"/>
            <w:tcMar>
              <w:top w:type="dxa" w:w="100"/>
              <w:left w:type="dxa" w:w="120"/>
              <w:bottom w:type="dxa" w:w="100"/>
              <w:right w:type="dxa" w:w="120"/>
            </w:tcMar>
          </w:tcPr>
          <w:p>
            <w:r>
              <w:rPr>
                <w:b w:val="false"/>
                <w:bCs w:val="false"/>
                <w:color w:val="000000"/>
                <w:sz w:val="19"/>
                <w:szCs w:val="19"/>
              </w:rPr>
              <w:t xml:space="preserve">Heat grid (square marks)</w:t>
            </w:r>
          </w:p>
        </w:tc>
        <w:tc>
          <w:tcPr>
            <w:tcW w:type="dxa" w:w="6100"/>
            <w:tcMar>
              <w:top w:type="dxa" w:w="100"/>
              <w:left w:type="dxa" w:w="120"/>
              <w:bottom w:type="dxa" w:w="100"/>
              <w:right w:type="dxa" w:w="120"/>
            </w:tcMar>
          </w:tcPr>
          <w:p>
            <w:r>
              <w:rPr>
                <w:b w:val="false"/>
                <w:bCs w:val="false"/>
                <w:color w:val="000000"/>
                <w:sz w:val="19"/>
                <w:szCs w:val="19"/>
              </w:rPr>
              <w:t xml:space="preserve">Cross-tab of education level against performance rating, to spot patterns between the two.</w:t>
            </w:r>
          </w:p>
        </w:tc>
      </w:tr>
      <w:tr>
        <w:tc>
          <w:tcPr>
            <w:tcW w:type="dxa" w:w="1750"/>
            <w:shd w:fill="F2F2F2" w:val="clear"/>
            <w:tcMar>
              <w:top w:type="dxa" w:w="100"/>
              <w:left w:type="dxa" w:w="120"/>
              <w:bottom w:type="dxa" w:w="100"/>
              <w:right w:type="dxa" w:w="120"/>
            </w:tcMar>
          </w:tcPr>
          <w:p>
            <w:r>
              <w:rPr>
                <w:b w:val="false"/>
                <w:bCs w:val="false"/>
                <w:color w:val="000000"/>
                <w:sz w:val="19"/>
                <w:szCs w:val="19"/>
              </w:rPr>
              <w:t xml:space="preserve">Gender vs Education Level</w:t>
            </w:r>
          </w:p>
        </w:tc>
        <w:tc>
          <w:tcPr>
            <w:tcW w:type="dxa" w:w="1500"/>
            <w:shd w:fill="F2F2F2" w:val="clear"/>
            <w:tcMar>
              <w:top w:type="dxa" w:w="100"/>
              <w:left w:type="dxa" w:w="120"/>
              <w:bottom w:type="dxa" w:w="100"/>
              <w:right w:type="dxa" w:w="120"/>
            </w:tcMar>
          </w:tcPr>
          <w:p>
            <w:r>
              <w:rPr>
                <w:b w:val="false"/>
                <w:bCs w:val="false"/>
                <w:color w:val="000000"/>
                <w:sz w:val="19"/>
                <w:szCs w:val="19"/>
              </w:rPr>
              <w:t xml:space="preserve">Combo (square/line/shape)</w:t>
            </w:r>
          </w:p>
        </w:tc>
        <w:tc>
          <w:tcPr>
            <w:tcW w:type="dxa" w:w="6100"/>
            <w:shd w:fill="F2F2F2" w:val="clear"/>
            <w:tcMar>
              <w:top w:type="dxa" w:w="100"/>
              <w:left w:type="dxa" w:w="120"/>
              <w:bottom w:type="dxa" w:w="100"/>
              <w:right w:type="dxa" w:w="120"/>
            </w:tcMar>
          </w:tcPr>
          <w:p>
            <w:r>
              <w:rPr>
                <w:b w:val="false"/>
                <w:bCs w:val="false"/>
                <w:color w:val="000000"/>
                <w:sz w:val="19"/>
                <w:szCs w:val="19"/>
              </w:rPr>
              <w:t xml:space="preserve">Average salary compared across gender and education level.</w:t>
            </w:r>
          </w:p>
        </w:tc>
      </w:tr>
      <w:tr>
        <w:tc>
          <w:tcPr>
            <w:tcW w:type="dxa" w:w="1750"/>
            <w:tcMar>
              <w:top w:type="dxa" w:w="100"/>
              <w:left w:type="dxa" w:w="120"/>
              <w:bottom w:type="dxa" w:w="100"/>
              <w:right w:type="dxa" w:w="120"/>
            </w:tcMar>
          </w:tcPr>
          <w:p>
            <w:r>
              <w:rPr>
                <w:b w:val="false"/>
                <w:bCs w:val="false"/>
                <w:color w:val="000000"/>
                <w:sz w:val="19"/>
                <w:szCs w:val="19"/>
              </w:rPr>
              <w:t xml:space="preserve">Age vs Salary</w:t>
            </w:r>
          </w:p>
        </w:tc>
        <w:tc>
          <w:tcPr>
            <w:tcW w:type="dxa" w:w="1500"/>
            <w:tcMar>
              <w:top w:type="dxa" w:w="100"/>
              <w:left w:type="dxa" w:w="120"/>
              <w:bottom w:type="dxa" w:w="100"/>
              <w:right w:type="dxa" w:w="120"/>
            </w:tcMar>
          </w:tcPr>
          <w:p>
            <w:r>
              <w:rPr>
                <w:b w:val="false"/>
                <w:bCs w:val="false"/>
                <w:color w:val="000000"/>
                <w:sz w:val="19"/>
                <w:szCs w:val="19"/>
              </w:rPr>
              <w:t xml:space="preserve">Scatter (shape marks)</w:t>
            </w:r>
          </w:p>
        </w:tc>
        <w:tc>
          <w:tcPr>
            <w:tcW w:type="dxa" w:w="6100"/>
            <w:tcMar>
              <w:top w:type="dxa" w:w="100"/>
              <w:left w:type="dxa" w:w="120"/>
              <w:bottom w:type="dxa" w:w="100"/>
              <w:right w:type="dxa" w:w="120"/>
            </w:tcMar>
          </w:tcPr>
          <w:p>
            <w:r>
              <w:rPr>
                <w:b w:val="false"/>
                <w:bCs w:val="false"/>
                <w:color w:val="000000"/>
                <w:sz w:val="19"/>
                <w:szCs w:val="19"/>
              </w:rPr>
              <w:t xml:space="preserve">Average salary and average age plotted per job title.</w:t>
            </w:r>
          </w:p>
        </w:tc>
      </w:tr>
    </w:tbl>
    <w:p>
      <w:pPr>
        <w:pStyle w:val="Heading1"/>
        <w:spacing w:after="160" w:before="320"/>
      </w:pPr>
      <w:r>
        <w:rPr>
          <w:b/>
          <w:bCs/>
          <w:color w:val="1F3864"/>
          <w:sz w:val="30"/>
          <w:szCs w:val="30"/>
        </w:rPr>
        <w:t xml:space="preserve">4. Built But Not Displayed</w:t>
      </w:r>
    </w:p>
    <w:p>
      <w:pPr>
        <w:spacing w:after="160" w:line="276"/>
      </w:pPr>
      <w:r>
        <w:rPr>
          <w:sz w:val="21"/>
          <w:szCs w:val="21"/>
        </w:rPr>
        <w:t xml:space="preserve">A few worksheets exist in the workbook file but are not placed anywhere on the “Summary Dash” dashboard. They may be earlier drafts or held in reserve for a future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3864" w:val="clear"/>
            <w:tcMar>
              <w:top w:type="dxa" w:w="100"/>
              <w:left w:type="dxa" w:w="120"/>
              <w:bottom w:type="dxa" w:w="100"/>
              <w:right w:type="dxa" w:w="120"/>
            </w:tcMar>
          </w:tcPr>
          <w:p>
            <w:r>
              <w:rPr>
                <w:b/>
                <w:bCs/>
                <w:color w:val="FFFFFF"/>
                <w:sz w:val="19"/>
                <w:szCs w:val="19"/>
              </w:rPr>
              <w:t xml:space="preserve">Sheet Name</w:t>
            </w:r>
          </w:p>
        </w:tc>
        <w:tc>
          <w:tcPr>
            <w:tcW w:type="dxa" w:w="7150"/>
            <w:shd w:fill="1F3864" w:val="clear"/>
            <w:tcMar>
              <w:top w:type="dxa" w:w="100"/>
              <w:left w:type="dxa" w:w="120"/>
              <w:bottom w:type="dxa" w:w="100"/>
              <w:right w:type="dxa" w:w="120"/>
            </w:tcMar>
          </w:tcPr>
          <w:p>
            <w:r>
              <w:rPr>
                <w:b/>
                <w:bCs/>
                <w:color w:val="FFFFFF"/>
                <w:sz w:val="19"/>
                <w:szCs w:val="19"/>
              </w:rPr>
              <w:t xml:space="preserve">Notes</w:t>
            </w:r>
          </w:p>
        </w:tc>
      </w:tr>
      <w:tr>
        <w:tc>
          <w:tcPr>
            <w:tcW w:type="dxa" w:w="2200"/>
            <w:tcMar>
              <w:top w:type="dxa" w:w="100"/>
              <w:left w:type="dxa" w:w="120"/>
              <w:bottom w:type="dxa" w:w="100"/>
              <w:right w:type="dxa" w:w="120"/>
            </w:tcMar>
          </w:tcPr>
          <w:p>
            <w:r>
              <w:rPr>
                <w:b w:val="false"/>
                <w:bCs w:val="false"/>
                <w:color w:val="000000"/>
                <w:sz w:val="19"/>
                <w:szCs w:val="19"/>
              </w:rPr>
              <w:t xml:space="preserve">Cities</w:t>
            </w:r>
          </w:p>
        </w:tc>
        <w:tc>
          <w:tcPr>
            <w:tcW w:type="dxa" w:w="7150"/>
            <w:tcMar>
              <w:top w:type="dxa" w:w="100"/>
              <w:left w:type="dxa" w:w="120"/>
              <w:bottom w:type="dxa" w:w="100"/>
              <w:right w:type="dxa" w:w="120"/>
            </w:tcMar>
          </w:tcPr>
          <w:p>
            <w:r>
              <w:rPr>
                <w:b w:val="false"/>
                <w:bCs w:val="false"/>
                <w:color w:val="000000"/>
                <w:sz w:val="19"/>
                <w:szCs w:val="19"/>
              </w:rPr>
              <w:t xml:space="preserve">Bar chart of headcount by city — built but not placed on the live dashboard.</w:t>
            </w:r>
          </w:p>
        </w:tc>
      </w:tr>
      <w:tr>
        <w:tc>
          <w:tcPr>
            <w:tcW w:type="dxa" w:w="2200"/>
            <w:tcMar>
              <w:top w:type="dxa" w:w="100"/>
              <w:left w:type="dxa" w:w="120"/>
              <w:bottom w:type="dxa" w:w="100"/>
              <w:right w:type="dxa" w:w="120"/>
            </w:tcMar>
          </w:tcPr>
          <w:p>
            <w:r>
              <w:rPr>
                <w:b w:val="false"/>
                <w:bCs w:val="false"/>
                <w:color w:val="000000"/>
                <w:sz w:val="19"/>
                <w:szCs w:val="19"/>
              </w:rPr>
              <w:t xml:space="preserve">States</w:t>
            </w:r>
          </w:p>
        </w:tc>
        <w:tc>
          <w:tcPr>
            <w:tcW w:type="dxa" w:w="7150"/>
            <w:tcMar>
              <w:top w:type="dxa" w:w="100"/>
              <w:left w:type="dxa" w:w="120"/>
              <w:bottom w:type="dxa" w:w="100"/>
              <w:right w:type="dxa" w:w="120"/>
            </w:tcMar>
          </w:tcPr>
          <w:p>
            <w:r>
              <w:rPr>
                <w:b w:val="false"/>
                <w:bCs w:val="false"/>
                <w:color w:val="000000"/>
                <w:sz w:val="19"/>
                <w:szCs w:val="19"/>
              </w:rPr>
              <w:t xml:space="preserve">Bar chart of headcount by state — built but not placed on the live dashboard (Map States is used instead).</w:t>
            </w:r>
          </w:p>
        </w:tc>
      </w:tr>
      <w:tr>
        <w:tc>
          <w:tcPr>
            <w:tcW w:type="dxa" w:w="2200"/>
            <w:tcMar>
              <w:top w:type="dxa" w:w="100"/>
              <w:left w:type="dxa" w:w="120"/>
              <w:bottom w:type="dxa" w:w="100"/>
              <w:right w:type="dxa" w:w="120"/>
            </w:tcMar>
          </w:tcPr>
          <w:p>
            <w:r>
              <w:rPr>
                <w:b w:val="false"/>
                <w:bCs w:val="false"/>
                <w:color w:val="000000"/>
                <w:sz w:val="19"/>
                <w:szCs w:val="19"/>
              </w:rPr>
              <w:t xml:space="preserve">Job Titles</w:t>
            </w:r>
          </w:p>
        </w:tc>
        <w:tc>
          <w:tcPr>
            <w:tcW w:type="dxa" w:w="7150"/>
            <w:tcMar>
              <w:top w:type="dxa" w:w="100"/>
              <w:left w:type="dxa" w:w="120"/>
              <w:bottom w:type="dxa" w:w="100"/>
              <w:right w:type="dxa" w:w="120"/>
            </w:tcMar>
          </w:tcPr>
          <w:p>
            <w:r>
              <w:rPr>
                <w:b w:val="false"/>
                <w:bCs w:val="false"/>
                <w:color w:val="000000"/>
                <w:sz w:val="19"/>
                <w:szCs w:val="19"/>
              </w:rPr>
              <w:t xml:space="preserve">Bar chart of headcount by job title — built but not placed on the live dashboard.</w:t>
            </w:r>
          </w:p>
        </w:tc>
      </w:tr>
      <w:tr>
        <w:tc>
          <w:tcPr>
            <w:tcW w:type="dxa" w:w="2200"/>
            <w:tcMar>
              <w:top w:type="dxa" w:w="100"/>
              <w:left w:type="dxa" w:w="120"/>
              <w:bottom w:type="dxa" w:w="100"/>
              <w:right w:type="dxa" w:w="120"/>
            </w:tcMar>
          </w:tcPr>
          <w:p>
            <w:r>
              <w:rPr>
                <w:b w:val="false"/>
                <w:bCs w:val="false"/>
                <w:color w:val="000000"/>
                <w:sz w:val="19"/>
                <w:szCs w:val="19"/>
              </w:rPr>
              <w:t xml:space="preserve">test</w:t>
            </w:r>
          </w:p>
        </w:tc>
        <w:tc>
          <w:tcPr>
            <w:tcW w:type="dxa" w:w="7150"/>
            <w:tcMar>
              <w:top w:type="dxa" w:w="100"/>
              <w:left w:type="dxa" w:w="120"/>
              <w:bottom w:type="dxa" w:w="100"/>
              <w:right w:type="dxa" w:w="120"/>
            </w:tcMar>
          </w:tcPr>
          <w:p>
            <w:r>
              <w:rPr>
                <w:b w:val="false"/>
                <w:bCs w:val="false"/>
                <w:color w:val="000000"/>
                <w:sz w:val="19"/>
                <w:szCs w:val="19"/>
              </w:rPr>
              <w:t xml:space="preserve">A scratch/draft sheet with no customized tooltip — appears to be a working sheet left over from development.</w:t>
            </w:r>
          </w:p>
        </w:tc>
      </w:tr>
    </w:tbl>
    <w:p>
      <w:pPr>
        <w:pStyle w:val="Heading1"/>
        <w:spacing w:after="160" w:before="320"/>
      </w:pPr>
      <w:r>
        <w:rPr>
          <w:b/>
          <w:bCs/>
          <w:color w:val="1F3864"/>
          <w:sz w:val="30"/>
          <w:szCs w:val="30"/>
        </w:rPr>
        <w:t xml:space="preserve">5. How Tooltips Are Used for Non-Technical Viewers</w:t>
      </w:r>
    </w:p>
    <w:p>
      <w:pPr>
        <w:spacing w:after="160" w:line="276"/>
      </w:pPr>
      <w:r>
        <w:rPr>
          <w:sz w:val="21"/>
          <w:szCs w:val="21"/>
        </w:rPr>
        <w:t xml:space="preserve">Every live chart in this dashboard (all except the leftover “test” sheet) has a customized tooltip, rather than Tableau's raw default tooltip. This matters a lot for a non-technical audience, for a few concrete reasons:</w:t>
      </w:r>
    </w:p>
    <w:p>
      <w:pPr>
        <w:pStyle w:val="Heading2"/>
        <w:spacing w:after="120" w:before="260"/>
      </w:pPr>
      <w:r>
        <w:rPr>
          <w:b/>
          <w:bCs/>
          <w:color w:val="1F3864"/>
          <w:sz w:val="24"/>
          <w:szCs w:val="24"/>
        </w:rPr>
        <w:t xml:space="preserve">5.1 Plain sentences instead of field names</w:t>
      </w:r>
    </w:p>
    <w:p>
      <w:pPr>
        <w:spacing w:after="160" w:line="276"/>
      </w:pPr>
      <w:r>
        <w:rPr>
          <w:sz w:val="21"/>
          <w:szCs w:val="21"/>
        </w:rPr>
        <w:t xml:space="preserve">Tableau's default tooltip would show raw internal labels, e.g. “Department: Sales, Calculation_0325564985421824: 58.” Instead, this workbook rewrites every tooltip as a plain, complete sentence — for example, “The total number of terminated employees is 42.” A viewer never needs to know what a field or calculation is called; they just read a sentence, the same way they would read a caption under a photo.</w:t>
      </w:r>
    </w:p>
    <w:p>
      <w:pPr>
        <w:pStyle w:val="Heading2"/>
        <w:spacing w:after="120" w:before="260"/>
      </w:pPr>
      <w:r>
        <w:rPr>
          <w:b/>
          <w:bCs/>
          <w:color w:val="1F3864"/>
          <w:sz w:val="24"/>
          <w:szCs w:val="24"/>
        </w:rPr>
        <w:t xml:space="preserve">5.2 The number is visually called out</w:t>
      </w:r>
    </w:p>
    <w:p>
      <w:pPr>
        <w:spacing w:after="160" w:line="276"/>
      </w:pPr>
      <w:r>
        <w:rPr>
          <w:sz w:val="21"/>
          <w:szCs w:val="21"/>
        </w:rPr>
        <w:t xml:space="preserve">Inside each tooltip, the actual figure is bolded and given its own color, so it stands out from the surrounding sentence. On the hover text, the number is the loudest thing on the tooltip — this lets someone scan quickly for “what's the number” without reading every word.</w:t>
      </w:r>
    </w:p>
    <w:p>
      <w:pPr>
        <w:pStyle w:val="Heading2"/>
        <w:spacing w:after="120" w:before="260"/>
      </w:pPr>
      <w:r>
        <w:rPr>
          <w:b/>
          <w:bCs/>
          <w:color w:val="1F3864"/>
          <w:sz w:val="24"/>
          <w:szCs w:val="24"/>
        </w:rPr>
        <w:t xml:space="preserve">5.3 Context is added automatically</w:t>
      </w:r>
    </w:p>
    <w:p>
      <w:pPr>
        <w:spacing w:after="160" w:line="276"/>
      </w:pPr>
      <w:r>
        <w:rPr>
          <w:sz w:val="21"/>
          <w:szCs w:val="21"/>
        </w:rPr>
        <w:t xml:space="preserve">Charts that break data down by a category (department, year, education level, etc.) prepend that category to the sentence, e.g. “[Sales] — The total number of employees is 58.” This means the tooltip always tells the viewer both what they're looking at and which specific bar, slice, or point they're hovering over — no need to cross-reference an axis label.</w:t>
      </w:r>
    </w:p>
    <w:p>
      <w:pPr>
        <w:pStyle w:val="Heading2"/>
        <w:spacing w:after="120" w:before="260"/>
      </w:pPr>
      <w:r>
        <w:rPr>
          <w:b/>
          <w:bCs/>
          <w:color w:val="1F3864"/>
          <w:sz w:val="24"/>
          <w:szCs w:val="24"/>
        </w:rPr>
        <w:t xml:space="preserve">5.4 No training required</w:t>
      </w:r>
    </w:p>
    <w:p>
      <w:pPr>
        <w:spacing w:after="160" w:line="276"/>
      </w:pPr>
      <w:r>
        <w:rPr>
          <w:sz w:val="21"/>
          <w:szCs w:val="21"/>
        </w:rPr>
        <w:t xml:space="preserve">Because hovering is a familiar, universal interaction (unlike reading a legend or interpreting an axis), tooltips let a first-time, non-technical viewer explore the dashboard by simply moving their mouse and reading. It turns each chart into a self-service Q&amp;A: hover over any bar, slice, or point and get the answer in a full sentence.</w:t>
      </w:r>
    </w:p>
    <w:p>
      <w:pPr>
        <w:pStyle w:val="Heading2"/>
        <w:spacing w:after="120" w:before="260"/>
      </w:pPr>
      <w:r>
        <w:rPr>
          <w:b/>
          <w:bCs/>
          <w:color w:val="1F3864"/>
          <w:sz w:val="24"/>
          <w:szCs w:val="24"/>
        </w:rPr>
        <w:t xml:space="preserve">5.5 Examples from this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1F3864" w:val="clear"/>
            <w:tcMar>
              <w:top w:type="dxa" w:w="100"/>
              <w:left w:type="dxa" w:w="120"/>
              <w:bottom w:type="dxa" w:w="100"/>
              <w:right w:type="dxa" w:w="120"/>
            </w:tcMar>
          </w:tcPr>
          <w:p>
            <w:r>
              <w:rPr>
                <w:b/>
                <w:bCs/>
                <w:color w:val="FFFFFF"/>
                <w:sz w:val="19"/>
                <w:szCs w:val="19"/>
              </w:rPr>
              <w:t xml:space="preserve">Chart</w:t>
            </w:r>
          </w:p>
        </w:tc>
        <w:tc>
          <w:tcPr>
            <w:tcW w:type="dxa" w:w="7450"/>
            <w:shd w:fill="1F3864" w:val="clear"/>
            <w:tcMar>
              <w:top w:type="dxa" w:w="100"/>
              <w:left w:type="dxa" w:w="120"/>
              <w:bottom w:type="dxa" w:w="100"/>
              <w:right w:type="dxa" w:w="120"/>
            </w:tcMar>
          </w:tcPr>
          <w:p>
            <w:r>
              <w:rPr>
                <w:b/>
                <w:bCs/>
                <w:color w:val="FFFFFF"/>
                <w:sz w:val="19"/>
                <w:szCs w:val="19"/>
              </w:rPr>
              <w:t xml:space="preserve">Tooltip shown to the viewer on hover</w:t>
            </w:r>
          </w:p>
        </w:tc>
      </w:tr>
      <w:tr>
        <w:tc>
          <w:tcPr>
            <w:tcW w:type="dxa" w:w="1900"/>
            <w:tcMar>
              <w:top w:type="dxa" w:w="100"/>
              <w:left w:type="dxa" w:w="120"/>
              <w:bottom w:type="dxa" w:w="100"/>
              <w:right w:type="dxa" w:w="120"/>
            </w:tcMar>
          </w:tcPr>
          <w:p>
            <w:r>
              <w:rPr>
                <w:b w:val="false"/>
                <w:bCs w:val="false"/>
                <w:color w:val="000000"/>
                <w:sz w:val="19"/>
                <w:szCs w:val="19"/>
              </w:rPr>
              <w:t xml:space="preserve">BAN Terminated</w:t>
            </w:r>
          </w:p>
        </w:tc>
        <w:tc>
          <w:tcPr>
            <w:tcW w:type="dxa" w:w="7450"/>
            <w:tcMar>
              <w:top w:type="dxa" w:w="100"/>
              <w:left w:type="dxa" w:w="120"/>
              <w:bottom w:type="dxa" w:w="100"/>
              <w:right w:type="dxa" w:w="120"/>
            </w:tcMar>
          </w:tcPr>
          <w:p>
            <w:r>
              <w:rPr>
                <w:b w:val="false"/>
                <w:bCs w:val="false"/>
                <w:color w:val="000000"/>
                <w:sz w:val="19"/>
                <w:szCs w:val="19"/>
              </w:rPr>
              <w:t xml:space="preserve">“The total number of terminated employees is [42]”</w:t>
            </w:r>
          </w:p>
        </w:tc>
      </w:tr>
      <w:tr>
        <w:tc>
          <w:tcPr>
            <w:tcW w:type="dxa" w:w="1900"/>
            <w:shd w:fill="F2F2F2" w:val="clear"/>
            <w:tcMar>
              <w:top w:type="dxa" w:w="100"/>
              <w:left w:type="dxa" w:w="120"/>
              <w:bottom w:type="dxa" w:w="100"/>
              <w:right w:type="dxa" w:w="120"/>
            </w:tcMar>
          </w:tcPr>
          <w:p>
            <w:r>
              <w:rPr>
                <w:b w:val="false"/>
                <w:bCs w:val="false"/>
                <w:color w:val="000000"/>
                <w:sz w:val="19"/>
                <w:szCs w:val="19"/>
              </w:rPr>
              <w:t xml:space="preserve">Terminated By Year</w:t>
            </w:r>
          </w:p>
        </w:tc>
        <w:tc>
          <w:tcPr>
            <w:tcW w:type="dxa" w:w="7450"/>
            <w:shd w:fill="F2F2F2" w:val="clear"/>
            <w:tcMar>
              <w:top w:type="dxa" w:w="100"/>
              <w:left w:type="dxa" w:w="120"/>
              <w:bottom w:type="dxa" w:w="100"/>
              <w:right w:type="dxa" w:w="120"/>
            </w:tcMar>
          </w:tcPr>
          <w:p>
            <w:r>
              <w:rPr>
                <w:b w:val="false"/>
                <w:bCs w:val="false"/>
                <w:color w:val="000000"/>
                <w:sz w:val="19"/>
                <w:szCs w:val="19"/>
              </w:rPr>
              <w:t xml:space="preserve">“[2023] — The total number of terminated employees is [15]”</w:t>
            </w:r>
          </w:p>
        </w:tc>
      </w:tr>
      <w:tr>
        <w:tc>
          <w:tcPr>
            <w:tcW w:type="dxa" w:w="1900"/>
            <w:tcMar>
              <w:top w:type="dxa" w:w="100"/>
              <w:left w:type="dxa" w:w="120"/>
              <w:bottom w:type="dxa" w:w="100"/>
              <w:right w:type="dxa" w:w="120"/>
            </w:tcMar>
          </w:tcPr>
          <w:p>
            <w:r>
              <w:rPr>
                <w:b w:val="false"/>
                <w:bCs w:val="false"/>
                <w:color w:val="000000"/>
                <w:sz w:val="19"/>
                <w:szCs w:val="19"/>
              </w:rPr>
              <w:t xml:space="preserve">Departments</w:t>
            </w:r>
          </w:p>
        </w:tc>
        <w:tc>
          <w:tcPr>
            <w:tcW w:type="dxa" w:w="7450"/>
            <w:tcMar>
              <w:top w:type="dxa" w:w="100"/>
              <w:left w:type="dxa" w:w="120"/>
              <w:bottom w:type="dxa" w:w="100"/>
              <w:right w:type="dxa" w:w="120"/>
            </w:tcMar>
          </w:tcPr>
          <w:p>
            <w:r>
              <w:rPr>
                <w:b w:val="false"/>
                <w:bCs w:val="false"/>
                <w:color w:val="000000"/>
                <w:sz w:val="19"/>
                <w:szCs w:val="19"/>
              </w:rPr>
              <w:t xml:space="preserve">“[Sales] — The total number of [active/terminated] employees is [58]”</w:t>
            </w:r>
          </w:p>
        </w:tc>
      </w:tr>
      <w:tr>
        <w:tc>
          <w:tcPr>
            <w:tcW w:type="dxa" w:w="1900"/>
            <w:shd w:fill="F2F2F2" w:val="clear"/>
            <w:tcMar>
              <w:top w:type="dxa" w:w="100"/>
              <w:left w:type="dxa" w:w="120"/>
              <w:bottom w:type="dxa" w:w="100"/>
              <w:right w:type="dxa" w:w="120"/>
            </w:tcMar>
          </w:tcPr>
          <w:p>
            <w:r>
              <w:rPr>
                <w:b w:val="false"/>
                <w:bCs w:val="false"/>
                <w:color w:val="000000"/>
                <w:sz w:val="19"/>
                <w:szCs w:val="19"/>
              </w:rPr>
              <w:t xml:space="preserve">Age vs Salary</w:t>
            </w:r>
          </w:p>
        </w:tc>
        <w:tc>
          <w:tcPr>
            <w:tcW w:type="dxa" w:w="7450"/>
            <w:shd w:fill="F2F2F2" w:val="clear"/>
            <w:tcMar>
              <w:top w:type="dxa" w:w="100"/>
              <w:left w:type="dxa" w:w="120"/>
              <w:bottom w:type="dxa" w:w="100"/>
              <w:right w:type="dxa" w:w="120"/>
            </w:tcMar>
          </w:tcPr>
          <w:p>
            <w:r>
              <w:rPr>
                <w:b w:val="false"/>
                <w:bCs w:val="false"/>
                <w:color w:val="000000"/>
                <w:sz w:val="19"/>
                <w:szCs w:val="19"/>
              </w:rPr>
              <w:t xml:space="preserve">“The average salary of [Manager] is [$78,500] and the average age of this role is [41]”</w:t>
            </w:r>
          </w:p>
        </w:tc>
      </w:tr>
    </w:tbl>
    <w:p>
      <w:pPr>
        <w:pStyle w:val="Heading1"/>
        <w:spacing w:after="160" w:before="320"/>
      </w:pPr>
      <w:r>
        <w:rPr>
          <w:b/>
          <w:bCs/>
          <w:color w:val="1F3864"/>
          <w:sz w:val="30"/>
          <w:szCs w:val="30"/>
        </w:rPr>
        <w:t xml:space="preserve">6. Takeaway</w:t>
      </w:r>
    </w:p>
    <w:p>
      <w:pPr>
        <w:spacing w:after="160" w:line="276"/>
      </w:pPr>
      <w:r>
        <w:rPr>
          <w:sz w:val="21"/>
          <w:szCs w:val="21"/>
        </w:rPr>
        <w:t xml:space="preserve">Between the KPI big numbers and the “Terminated By Year” trend chart, attrition is easy to find and read on this dashboard. And because every chart's tooltip has been rewritten into a plain-language sentence with the key number visually emphasized, someone with no Tableau or data background can hover over any chart and immediately understand what it's telling them — which is the main thing that makes this dashboard usable by a non-technical audience, such as HR leadership or department managers.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2026-09-06T13:00:37.228Z</dcterms:created>
  <dcterms:modified xsi:type="dcterms:W3CDTF">2026-09-06T13:00:37.249Z</dcterms:modified>
</cp:coreProperties>
</file>

<file path=docProps/custom.xml><?xml version="1.0" encoding="utf-8"?>
<Properties xmlns="http://schemas.openxmlformats.org/officeDocument/2006/custom-properties" xmlns:vt="http://schemas.openxmlformats.org/officeDocument/2006/docPropsVTypes"/>
</file>