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utc-pd-model-equations-baseline"/>
    <w:p>
      <w:pPr>
        <w:pStyle w:val="Heading1"/>
      </w:pPr>
      <w:r>
        <w:t xml:space="preserve">UTC-PD Model Equations (Baseline)</w:t>
      </w:r>
    </w:p>
    <w:bookmarkStart w:id="9" w:name="X71cd759dfb70eeeceb8c2216dd2b56a1a81048f"/>
    <w:p>
      <w:pPr>
        <w:pStyle w:val="Heading2"/>
      </w:pPr>
      <w:r>
        <w:t xml:space="preserve">1. Photocurrent transfer function — MUTC model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η</m:t>
                  </m:r>
                </m:e>
                <m:sub>
                  <m:r>
                    <m:t>U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+</m:t>
          </m:r>
          <m:r>
            <m:t> </m:t>
          </m:r>
          <m:f>
            <m:fPr>
              <m:type m:val="bar"/>
            </m:fPr>
            <m:num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den>
          </m:f>
          <m:d>
            <m:dPr>
              <m:begChr m:val="["/>
              <m:sepChr m:val=""/>
              <m:end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  <m:sSub>
                            <m:e>
                              <m:r>
                                <m:t>τ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t>D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"/>
              <m:sepChr m:val=""/>
              <m:endChr m:val="]"/>
              <m:grow/>
            </m:dPr>
            <m:e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  <m:sSub>
                            <m:e>
                              <m:r>
                                <m:t>τ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 </m:t>
        </m:r>
        <m:sSub>
          <m:e>
            <m:r>
              <m:t>η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first bracket (</w:t>
      </w:r>
      <m:oMath>
        <m:sSub>
          <m:e>
            <m:r>
              <m:t>η</m:t>
            </m:r>
          </m:e>
          <m:sub>
            <m:r>
              <m:t>U</m:t>
            </m:r>
          </m:sub>
        </m:sSub>
      </m:oMath>
      <w:r>
        <w:t xml:space="preserve">) is the undepleted-absorber-generated group and carries the diffusion pole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j</m:t>
        </m:r>
        <m:r>
          <m:t>ω</m:t>
        </m:r>
        <m:sSub>
          <m:e>
            <m:r>
              <m:t>τ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the second bracket (</w:t>
      </w:r>
      <m:oMath>
        <m:sSub>
          <m:e>
            <m:r>
              <m:t>η</m:t>
            </m:r>
          </m:e>
          <m:sub>
            <m:r>
              <m:t>D</m:t>
            </m:r>
          </m:sub>
        </m:sSub>
      </m:oMath>
      <w:r>
        <w:t xml:space="preserve">) is the depleted-absorber in-situ group (electron + hole, uniform-generation triangular transit) and carries no</w:t>
      </w:r>
      <w:r>
        <w:t xml:space="preserve"> </w:t>
      </w:r>
      <m:oMath>
        <m:sSub>
          <m:e>
            <m:r>
              <m:t>τ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"/>
    <w:bookmarkStart w:id="10" w:name="transit-times-and-generation-fractions"/>
    <w:p>
      <w:pPr>
        <w:pStyle w:val="Heading2"/>
      </w:pPr>
      <w:r>
        <w:t xml:space="preserve">2. Transit times and generation fractions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U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</m:num>
            <m:den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</m:t>
                          </m:r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z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e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z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e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den>
              </m:f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ε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U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bookmarkEnd w:id="10"/>
    <w:bookmarkStart w:id="11" w:name="circuit-model"/>
    <w:p>
      <w:pPr>
        <w:pStyle w:val="Heading2"/>
      </w:pPr>
      <w:r>
        <w:t xml:space="preserve">3. Circuit model</w:t>
      </w:r>
    </w:p>
    <w:p>
      <w:pPr>
        <w:pStyle w:val="FirstParagraph"/>
      </w:pPr>
      <w:r>
        <w:t xml:space="preserve">Input impedance and reflection coefficient: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 </m:t>
              </m:r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v</m:t>
                      </m:r>
                    </m:sub>
                  </m:sSub>
                </m:den>
              </m:f>
              <m:r>
                <m:t> 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pStyle w:val="FirstParagraph"/>
      </w:pPr>
      <w:r>
        <w:t xml:space="preserve">Normalized impedance: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Transimpedance (photocurrent to load voltage):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 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</m:den>
              </m:f>
            </m:num>
            <m:den>
              <m:r>
                <m:t> </m:t>
              </m:r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r>
          <m:t>j</m:t>
        </m:r>
        <m:r>
          <m:t>ω</m:t>
        </m:r>
        <m:sSub>
          <m:e>
            <m:r>
              <m:t>L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bookmarkEnd w:id="11"/>
    <w:bookmarkStart w:id="12" w:name="total-response-and-rf-power"/>
    <w:p>
      <w:pPr>
        <w:pStyle w:val="Heading2"/>
      </w:pPr>
      <w:r>
        <w:t xml:space="preserve">4. Total response and RF power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bookmarkEnd w:id="12"/>
    <w:bookmarkStart w:id="13" w:name="bias-dependent-junction-capacitance-cv"/>
    <w:p>
      <w:pPr>
        <w:pStyle w:val="Heading2"/>
      </w:pPr>
      <w:r>
        <w:t xml:space="preserve">5. Bias-dependent junction capacitance (C–V)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e>
              </m:rad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131</m:t>
          </m:r>
          <m:r>
            <m:t> 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161</m:t>
          </m:r>
          <m:r>
            <m:t> 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</m:oMath>
      </m:oMathPara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2026-08-19T22:03:43Z</dcterms:created>
  <dcterms:modified xsi:type="dcterms:W3CDTF">2026-08-19T22:03:43Z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