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C4BE" w14:textId="77777777" w:rsidR="007B594C" w:rsidRPr="007B594C" w:rsidRDefault="007B594C" w:rsidP="007B594C">
      <w:pPr>
        <w:spacing w:before="100" w:beforeAutospacing="1" w:after="120" w:line="360" w:lineRule="atLeast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  <w:r w:rsidRPr="007B594C">
        <w:rPr>
          <w:rFonts w:ascii="Arial" w:eastAsia="Times New Roman" w:hAnsi="Arial" w:cs="Arial"/>
          <w:b/>
          <w:bCs/>
          <w:color w:val="2B2B2B"/>
          <w:sz w:val="24"/>
          <w:szCs w:val="24"/>
        </w:rPr>
        <w:t>Given the provided data, what are three conclusions that we can draw about crowdfunding campaigns?</w:t>
      </w:r>
    </w:p>
    <w:p w14:paraId="5C902C84" w14:textId="30346C28" w:rsidR="007B594C" w:rsidRPr="007B594C" w:rsidRDefault="008A4D45" w:rsidP="007B594C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(pivot1) </w:t>
      </w:r>
      <w:proofErr w:type="gramStart"/>
      <w:r w:rsidR="007B594C">
        <w:rPr>
          <w:rFonts w:ascii="Arial" w:eastAsia="Times New Roman" w:hAnsi="Arial" w:cs="Arial"/>
          <w:color w:val="2B2B2B"/>
          <w:sz w:val="24"/>
          <w:szCs w:val="24"/>
        </w:rPr>
        <w:t>A majority of</w:t>
      </w:r>
      <w:proofErr w:type="gramEnd"/>
      <w:r w:rsidR="007B594C">
        <w:rPr>
          <w:rFonts w:ascii="Arial" w:eastAsia="Times New Roman" w:hAnsi="Arial" w:cs="Arial"/>
          <w:color w:val="2B2B2B"/>
          <w:sz w:val="24"/>
          <w:szCs w:val="24"/>
        </w:rPr>
        <w:t xml:space="preserve"> crowdfunding campaigns in this data set were successful (56.5%), while 42.1% were unsuccessful (‘failed’ or ‘canceled’)</w:t>
      </w:r>
    </w:p>
    <w:p w14:paraId="4C5DAF3E" w14:textId="47325726" w:rsidR="008A4D45" w:rsidRDefault="008A4D45" w:rsidP="007B594C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(pivot2) </w:t>
      </w:r>
      <w:r w:rsidR="007B594C">
        <w:rPr>
          <w:rFonts w:ascii="Arial" w:eastAsia="Times New Roman" w:hAnsi="Arial" w:cs="Arial"/>
          <w:color w:val="2B2B2B"/>
          <w:sz w:val="24"/>
          <w:szCs w:val="24"/>
        </w:rPr>
        <w:t>The success of a crowdfunding campaign is very dependent on the ‘Sub-Category’</w:t>
      </w:r>
      <w:r>
        <w:rPr>
          <w:rFonts w:ascii="Arial" w:eastAsia="Times New Roman" w:hAnsi="Arial" w:cs="Arial"/>
          <w:color w:val="2B2B2B"/>
          <w:sz w:val="24"/>
          <w:szCs w:val="24"/>
        </w:rPr>
        <w:t>, for example:</w:t>
      </w:r>
    </w:p>
    <w:p w14:paraId="788F9808" w14:textId="5F8B1594" w:rsidR="007B594C" w:rsidRDefault="007B594C" w:rsidP="008A4D45">
      <w:pPr>
        <w:pStyle w:val="ListParagraph"/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 </w:t>
      </w:r>
      <w:r w:rsidR="008A4D45">
        <w:rPr>
          <w:rFonts w:ascii="Arial" w:eastAsia="Times New Roman" w:hAnsi="Arial" w:cs="Arial"/>
          <w:color w:val="2B2B2B"/>
          <w:sz w:val="24"/>
          <w:szCs w:val="24"/>
        </w:rPr>
        <w:t>‘audio’ and ‘world music’ campaigns were 100% successful (despite small sample</w:t>
      </w:r>
      <w:r w:rsidR="003D5721">
        <w:rPr>
          <w:rFonts w:ascii="Arial" w:eastAsia="Times New Roman" w:hAnsi="Arial" w:cs="Arial"/>
          <w:color w:val="2B2B2B"/>
          <w:sz w:val="24"/>
          <w:szCs w:val="24"/>
        </w:rPr>
        <w:t xml:space="preserve"> of each</w:t>
      </w:r>
      <w:r w:rsidR="008A4D45">
        <w:rPr>
          <w:rFonts w:ascii="Arial" w:eastAsia="Times New Roman" w:hAnsi="Arial" w:cs="Arial"/>
          <w:color w:val="2B2B2B"/>
          <w:sz w:val="24"/>
          <w:szCs w:val="24"/>
        </w:rPr>
        <w:t>)</w:t>
      </w:r>
    </w:p>
    <w:p w14:paraId="73304463" w14:textId="2A78300B" w:rsidR="008A4D45" w:rsidRDefault="008A4D45" w:rsidP="008A4D45">
      <w:pPr>
        <w:pStyle w:val="ListParagraph"/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‘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</w:rPr>
        <w:t>science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</w:rPr>
        <w:t xml:space="preserve"> fiction’ and ‘mobile games’ campaigns were </w:t>
      </w:r>
      <w:r w:rsidR="00DD1D55">
        <w:rPr>
          <w:rFonts w:ascii="Arial" w:eastAsia="Times New Roman" w:hAnsi="Arial" w:cs="Arial"/>
          <w:color w:val="2B2B2B"/>
          <w:sz w:val="24"/>
          <w:szCs w:val="24"/>
        </w:rPr>
        <w:t>least</w:t>
      </w:r>
      <w:r>
        <w:rPr>
          <w:rFonts w:ascii="Arial" w:eastAsia="Times New Roman" w:hAnsi="Arial" w:cs="Arial"/>
          <w:color w:val="2B2B2B"/>
          <w:sz w:val="24"/>
          <w:szCs w:val="24"/>
        </w:rPr>
        <w:t xml:space="preserve"> successful with 35.7% and 30.8% success rates respectively</w:t>
      </w:r>
    </w:p>
    <w:p w14:paraId="4DDB8F1E" w14:textId="2D9374A9" w:rsidR="008A4D45" w:rsidRPr="007B594C" w:rsidRDefault="008A4D45" w:rsidP="008A4D45">
      <w:pPr>
        <w:pStyle w:val="ListParagraph"/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There was a wide range of success rates across the spectrum of ‘Sub-Category’, including many well above/below the 56.5% overall success rate</w:t>
      </w:r>
    </w:p>
    <w:p w14:paraId="7027E018" w14:textId="5B5B3F89" w:rsidR="007B594C" w:rsidRPr="007B594C" w:rsidRDefault="008A4D45" w:rsidP="007B594C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(pivot3) The success rates were highest in June and July with rates of 63.2% and 61.7% respectively</w:t>
      </w:r>
    </w:p>
    <w:p w14:paraId="3AF99C25" w14:textId="43A2EDF8" w:rsidR="007B594C" w:rsidRPr="007B594C" w:rsidRDefault="007B594C" w:rsidP="007B594C">
      <w:pPr>
        <w:spacing w:before="100" w:beforeAutospacing="1" w:after="120" w:line="360" w:lineRule="atLeast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  <w:r w:rsidRPr="007B594C">
        <w:rPr>
          <w:rFonts w:ascii="Arial" w:eastAsia="Times New Roman" w:hAnsi="Arial" w:cs="Arial"/>
          <w:b/>
          <w:bCs/>
          <w:color w:val="2B2B2B"/>
          <w:sz w:val="24"/>
          <w:szCs w:val="24"/>
        </w:rPr>
        <w:t>What are some limitations of this dataset?</w:t>
      </w:r>
    </w:p>
    <w:p w14:paraId="63CA4821" w14:textId="0B098109" w:rsidR="007B594C" w:rsidRPr="00D77A94" w:rsidRDefault="00D77A94" w:rsidP="00D77A94">
      <w:pPr>
        <w:pStyle w:val="ListParagraph"/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D77A94">
        <w:rPr>
          <w:rFonts w:ascii="Arial" w:eastAsia="Times New Roman" w:hAnsi="Arial" w:cs="Arial"/>
          <w:color w:val="2B2B2B"/>
          <w:sz w:val="24"/>
          <w:szCs w:val="24"/>
        </w:rPr>
        <w:t>Only 1000 records</w:t>
      </w:r>
      <w:r w:rsidR="00604C11">
        <w:rPr>
          <w:rFonts w:ascii="Arial" w:eastAsia="Times New Roman" w:hAnsi="Arial" w:cs="Arial"/>
          <w:color w:val="2B2B2B"/>
          <w:sz w:val="24"/>
          <w:szCs w:val="24"/>
        </w:rPr>
        <w:t>, small sample</w:t>
      </w:r>
    </w:p>
    <w:p w14:paraId="6C00433F" w14:textId="30DA2180" w:rsidR="00D77A94" w:rsidRDefault="00DB56A7" w:rsidP="00D77A94">
      <w:pPr>
        <w:pStyle w:val="ListParagraph"/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Limited description in ‘blurb’ field, little detail on each record</w:t>
      </w:r>
    </w:p>
    <w:p w14:paraId="3B440B55" w14:textId="69530D8D" w:rsidR="00DB56A7" w:rsidRDefault="00C5668F" w:rsidP="00D77A94">
      <w:pPr>
        <w:pStyle w:val="ListParagraph"/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Unknown which platform (‘Kickstarter’, ‘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</w:rPr>
        <w:t>Indigogo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</w:rPr>
        <w:t xml:space="preserve">’,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</w:rPr>
        <w:t>etc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</w:rPr>
        <w:t>) these campaigns came from</w:t>
      </w:r>
    </w:p>
    <w:p w14:paraId="323BBB8E" w14:textId="5BF6CE77" w:rsidR="00877566" w:rsidRPr="00D77A94" w:rsidRDefault="00877566" w:rsidP="00D77A94">
      <w:pPr>
        <w:pStyle w:val="ListParagraph"/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Limited </w:t>
      </w:r>
      <w:r w:rsidR="00B96490">
        <w:rPr>
          <w:rFonts w:ascii="Arial" w:eastAsia="Times New Roman" w:hAnsi="Arial" w:cs="Arial"/>
          <w:color w:val="2B2B2B"/>
          <w:sz w:val="24"/>
          <w:szCs w:val="24"/>
        </w:rPr>
        <w:t xml:space="preserve">detail, a database of each ‘backer’ transaction could be more </w:t>
      </w:r>
      <w:r w:rsidR="002C0C48">
        <w:rPr>
          <w:rFonts w:ascii="Arial" w:eastAsia="Times New Roman" w:hAnsi="Arial" w:cs="Arial"/>
          <w:color w:val="2B2B2B"/>
          <w:sz w:val="24"/>
          <w:szCs w:val="24"/>
        </w:rPr>
        <w:t>insightful</w:t>
      </w:r>
    </w:p>
    <w:p w14:paraId="14E7F93B" w14:textId="559C2F2A" w:rsidR="007B594C" w:rsidRPr="007B594C" w:rsidRDefault="007B594C" w:rsidP="007B594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2B2B2B"/>
          <w:sz w:val="24"/>
          <w:szCs w:val="24"/>
        </w:rPr>
      </w:pPr>
      <w:r w:rsidRPr="007B594C">
        <w:rPr>
          <w:rFonts w:ascii="Arial" w:eastAsia="Times New Roman" w:hAnsi="Arial" w:cs="Arial"/>
          <w:b/>
          <w:bCs/>
          <w:color w:val="2B2B2B"/>
          <w:sz w:val="24"/>
          <w:szCs w:val="24"/>
        </w:rPr>
        <w:t>What are some other possible tables and/or graphs that we could create, and what additional value would they provide?</w:t>
      </w:r>
    </w:p>
    <w:p w14:paraId="5B33EE8B" w14:textId="56DCC012" w:rsidR="00C35F76" w:rsidRDefault="00D40AD8" w:rsidP="00F964FD">
      <w:pPr>
        <w:pStyle w:val="ListParagraph"/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>Assess whether ‘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</w:rPr>
        <w:t>staff_pick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</w:rPr>
        <w:t xml:space="preserve">’ and </w:t>
      </w:r>
      <w:r w:rsidR="00990488">
        <w:rPr>
          <w:rFonts w:ascii="Arial" w:eastAsia="Times New Roman" w:hAnsi="Arial" w:cs="Arial"/>
          <w:color w:val="2B2B2B"/>
          <w:sz w:val="24"/>
          <w:szCs w:val="24"/>
        </w:rPr>
        <w:t>‘spotlight’ are correlated with success</w:t>
      </w:r>
      <w:r w:rsidR="00513251">
        <w:rPr>
          <w:rFonts w:ascii="Arial" w:eastAsia="Times New Roman" w:hAnsi="Arial" w:cs="Arial"/>
          <w:color w:val="2B2B2B"/>
          <w:sz w:val="24"/>
          <w:szCs w:val="24"/>
        </w:rPr>
        <w:t>, look at the success rates for TRUE vs FALSE using bar</w:t>
      </w:r>
      <w:r w:rsidR="009E31C2">
        <w:rPr>
          <w:rFonts w:ascii="Arial" w:eastAsia="Times New Roman" w:hAnsi="Arial" w:cs="Arial"/>
          <w:color w:val="2B2B2B"/>
          <w:sz w:val="24"/>
          <w:szCs w:val="24"/>
        </w:rPr>
        <w:t xml:space="preserve"> charts</w:t>
      </w:r>
      <w:r w:rsidR="00413732">
        <w:rPr>
          <w:rFonts w:ascii="Arial" w:eastAsia="Times New Roman" w:hAnsi="Arial" w:cs="Arial"/>
          <w:color w:val="2B2B2B"/>
          <w:sz w:val="24"/>
          <w:szCs w:val="24"/>
        </w:rPr>
        <w:t xml:space="preserve"> or </w:t>
      </w:r>
      <w:proofErr w:type="gramStart"/>
      <w:r w:rsidR="00413732">
        <w:rPr>
          <w:rFonts w:ascii="Arial" w:eastAsia="Times New Roman" w:hAnsi="Arial" w:cs="Arial"/>
          <w:color w:val="2B2B2B"/>
          <w:sz w:val="24"/>
          <w:szCs w:val="24"/>
        </w:rPr>
        <w:t>other</w:t>
      </w:r>
      <w:proofErr w:type="gramEnd"/>
      <w:r w:rsidR="00413732">
        <w:rPr>
          <w:rFonts w:ascii="Arial" w:eastAsia="Times New Roman" w:hAnsi="Arial" w:cs="Arial"/>
          <w:color w:val="2B2B2B"/>
          <w:sz w:val="24"/>
          <w:szCs w:val="24"/>
        </w:rPr>
        <w:t xml:space="preserve"> graph</w:t>
      </w:r>
    </w:p>
    <w:p w14:paraId="22667C87" w14:textId="2D39D5DD" w:rsidR="009E31C2" w:rsidRDefault="009E31C2" w:rsidP="00F964FD">
      <w:pPr>
        <w:pStyle w:val="ListParagraph"/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Create table of currency conversion rates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</w:rPr>
        <w:t>in order to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</w:rPr>
        <w:t xml:space="preserve"> look at all fina</w:t>
      </w:r>
      <w:r w:rsidR="00E61E9F">
        <w:rPr>
          <w:rFonts w:ascii="Arial" w:eastAsia="Times New Roman" w:hAnsi="Arial" w:cs="Arial"/>
          <w:color w:val="2B2B2B"/>
          <w:sz w:val="24"/>
          <w:szCs w:val="24"/>
        </w:rPr>
        <w:t>ncial values on the same currency basis for comparison of contributions in different countries</w:t>
      </w:r>
    </w:p>
    <w:p w14:paraId="4FFC7E81" w14:textId="40DEAB25" w:rsidR="00990488" w:rsidRPr="00F964FD" w:rsidRDefault="00B75EFC" w:rsidP="00F964FD">
      <w:pPr>
        <w:pStyle w:val="ListParagraph"/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Show a line chart to see the success rates </w:t>
      </w:r>
      <w:r w:rsidR="000C42D9">
        <w:rPr>
          <w:rFonts w:ascii="Arial" w:eastAsia="Times New Roman" w:hAnsi="Arial" w:cs="Arial"/>
          <w:color w:val="2B2B2B"/>
          <w:sz w:val="24"/>
          <w:szCs w:val="24"/>
        </w:rPr>
        <w:t>by year and the trend over time</w:t>
      </w:r>
    </w:p>
    <w:sectPr w:rsidR="00990488" w:rsidRPr="00F9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2733B"/>
    <w:multiLevelType w:val="multilevel"/>
    <w:tmpl w:val="E7C8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526556"/>
    <w:multiLevelType w:val="hybridMultilevel"/>
    <w:tmpl w:val="FCD8A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D75F4"/>
    <w:multiLevelType w:val="hybridMultilevel"/>
    <w:tmpl w:val="CBDC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75193">
    <w:abstractNumId w:val="0"/>
  </w:num>
  <w:num w:numId="2" w16cid:durableId="1733458968">
    <w:abstractNumId w:val="1"/>
  </w:num>
  <w:num w:numId="3" w16cid:durableId="1912229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4C"/>
    <w:rsid w:val="00066CD7"/>
    <w:rsid w:val="000C42D9"/>
    <w:rsid w:val="00237F45"/>
    <w:rsid w:val="002C0C48"/>
    <w:rsid w:val="00387F17"/>
    <w:rsid w:val="003D5721"/>
    <w:rsid w:val="00413732"/>
    <w:rsid w:val="00513251"/>
    <w:rsid w:val="00604C11"/>
    <w:rsid w:val="007B594C"/>
    <w:rsid w:val="00877566"/>
    <w:rsid w:val="008A4D45"/>
    <w:rsid w:val="009032D4"/>
    <w:rsid w:val="00990488"/>
    <w:rsid w:val="009E31C2"/>
    <w:rsid w:val="00B75EFC"/>
    <w:rsid w:val="00B8614C"/>
    <w:rsid w:val="00B96490"/>
    <w:rsid w:val="00BF57EC"/>
    <w:rsid w:val="00C35F76"/>
    <w:rsid w:val="00C5668F"/>
    <w:rsid w:val="00D40AD8"/>
    <w:rsid w:val="00D77A94"/>
    <w:rsid w:val="00DB56A7"/>
    <w:rsid w:val="00DD1D55"/>
    <w:rsid w:val="00E61E9F"/>
    <w:rsid w:val="00F9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B85B"/>
  <w15:chartTrackingRefBased/>
  <w15:docId w15:val="{1B279E51-C1FD-4E81-B3F8-1181CCE6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Raminski</dc:creator>
  <cp:keywords/>
  <dc:description/>
  <cp:lastModifiedBy>Mike Raminski</cp:lastModifiedBy>
  <cp:revision>21</cp:revision>
  <dcterms:created xsi:type="dcterms:W3CDTF">2022-10-20T18:53:00Z</dcterms:created>
  <dcterms:modified xsi:type="dcterms:W3CDTF">2022-10-20T20:54:00Z</dcterms:modified>
</cp:coreProperties>
</file>