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E Effective Sample Size Report — PAT Rig</w:t>
      </w:r>
    </w:p>
    <w:p>
      <w:pPr>
        <w:pStyle w:val="Heading1"/>
      </w:pPr>
      <w:r>
        <w:t>Run Metadata</w:t>
      </w:r>
    </w:p>
    <w:p>
      <w:r>
        <w:t>Setup name: setup_e</w:t>
      </w:r>
    </w:p>
    <w:p>
      <w:r>
        <w:t>Run timestamp: 20260317_124743</w:t>
      </w:r>
    </w:p>
    <w:p>
      <w:r>
        <w:t>Notebook filename: setup_E_PATrig_effective_sample_size.ipynb</w:t>
      </w:r>
    </w:p>
    <w:p>
      <w:r>
        <w:t>Run directory: C:\temp files\EFS\reports\setup_e\20260317_124743</w:t>
      </w:r>
    </w:p>
    <w:p>
      <w:pPr>
        <w:pStyle w:val="Heading1"/>
      </w:pPr>
      <w:r>
        <w:t>Notebook Narrative</w:t>
      </w:r>
    </w:p>
    <w:p>
      <w:pPr>
        <w:pStyle w:val="Heading1"/>
      </w:pPr>
      <w:r>
        <w:t>Setup E - Effective Sample Size for PAT Rig NIR Measurement</w:t>
      </w:r>
    </w:p>
    <w:p>
      <w:r>
        <w:t>Powder plug-flow through a pipe with a flush-mounted NIR probe, deterministic first-generation model</w:t>
      </w:r>
    </w:p>
    <w:p>
      <w:pPr>
        <w:pStyle w:val="Heading2"/>
      </w:pPr>
      <w:r>
        <w:t>Background</w:t>
      </w:r>
    </w:p>
    <w:p>
      <w:r>
        <w:t>Setup E models a PAT (Process Analytical Technology) rig scenario where powder flows through a pipe past a flush-mounted diffuse-reflectance NIR probe. Unlike the static Setup A, powder motion during each spectral acquisition creates a dynamic sampling situation.</w:t>
      </w:r>
    </w:p>
    <w:p>
      <w:r>
        <w:t>Three distinct mass metrics are relevant:</w:t>
      </w:r>
    </w:p>
    <w:p>
      <w:pPr>
        <w:pStyle w:val="ListNumber"/>
      </w:pPr>
      <w:r>
        <w:t>Instantaneous probed mass (m_inst): mass simultaneously illuminated at any single instant.</w:t>
      </w:r>
    </w:p>
    <w:p>
      <w:pPr>
        <w:pStyle w:val="ListNumber"/>
      </w:pPr>
      <w:r>
        <w:t>New mass presented per acquisition (m_new): unique material refreshed across the probe window during one acquisition time, bounded by the instantaneous mass.</w:t>
      </w:r>
    </w:p>
    <w:p>
      <w:pPr>
        <w:pStyle w:val="ListNumber"/>
      </w:pPr>
      <w:r>
        <w:t>Mass passed probe footprint (m_pass): total mass that crosses the probe window plane during acquisition — grows linearly with time and is not bounded by instantaneous mass.</w:t>
      </w:r>
    </w:p>
    <w:p>
      <w:r>
        <w:t>This notebook uses plug-flow assumptions to compute these metrics and sweeps key operating parameters (acquisition time, throughput) to examine their sensitivity.</w:t>
      </w:r>
    </w:p>
    <w:p>
      <w:pPr>
        <w:pStyle w:val="Heading2"/>
      </w:pPr>
      <w:r>
        <w:t>Objective</w:t>
      </w:r>
    </w:p>
    <w:p>
      <w:r>
        <w:t>Compute instantaneous probed mass, new mass presented per acquisition, and mass passed the probe footprint for a PAT rig configuration. Sweep acquisition time and throughput to examine sensitivity, and export results using the standard reporting workflow.</w:t>
      </w:r>
    </w:p>
    <w:p>
      <w:pPr>
        <w:pStyle w:val="Heading2"/>
      </w:pPr>
      <w:r>
        <w:t>Theory</w:t>
      </w:r>
    </w:p>
    <w:p>
      <w:r>
        <w:t>Powder velocity from throughput and pipe cross-section:</w:t>
      </w:r>
    </w:p>
    <w:p>
      <w:r>
        <w:drawing>
          <wp:inline xmlns:a="http://schemas.openxmlformats.org/drawingml/2006/main" xmlns:pic="http://schemas.openxmlformats.org/drawingml/2006/picture">
            <wp:extent cx="5257800" cy="1981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Instantaneous probed mass (mass in view at any instant):</w:t>
      </w:r>
    </w:p>
    <w:p>
      <w:r>
        <w:drawing>
          <wp:inline xmlns:a="http://schemas.openxmlformats.org/drawingml/2006/main" xmlns:pic="http://schemas.openxmlformats.org/drawingml/2006/picture">
            <wp:extent cx="5257800" cy="658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Axial advance during acquisition:</w:t>
      </w:r>
    </w:p>
    <w:p>
      <w:r>
        <w:drawing>
          <wp:inline xmlns:a="http://schemas.openxmlformats.org/drawingml/2006/main" xmlns:pic="http://schemas.openxmlformats.org/drawingml/2006/picture">
            <wp:extent cx="5257800" cy="1369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Refresh fraction (fraction of probe volume replaced during acquisition):</w:t>
      </w:r>
    </w:p>
    <w:p>
      <w:r>
        <w:drawing>
          <wp:inline xmlns:a="http://schemas.openxmlformats.org/drawingml/2006/main" xmlns:pic="http://schemas.openxmlformats.org/drawingml/2006/picture">
            <wp:extent cx="5257800" cy="1014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New mass presented per acquisition:</w:t>
      </w:r>
    </w:p>
    <w:p>
      <w:r>
        <w:drawing>
          <wp:inline xmlns:a="http://schemas.openxmlformats.org/drawingml/2006/main" xmlns:pic="http://schemas.openxmlformats.org/drawingml/2006/picture">
            <wp:extent cx="5257800" cy="765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 passed the probe footprint during acquisition:</w:t>
      </w:r>
    </w:p>
    <w:p>
      <w:r>
        <w:drawing>
          <wp:inline xmlns:a="http://schemas.openxmlformats.org/drawingml/2006/main" xmlns:pic="http://schemas.openxmlformats.org/drawingml/2006/picture">
            <wp:extent cx="5257800" cy="5762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Symbols and units:</w:t>
      </w:r>
    </w:p>
    <w:p>
      <w:pPr>
        <w:pStyle w:val="ListBullet"/>
      </w:pPr>
      <w:r>
        <w:t>dotm: mass flow rate [g/s]</w:t>
      </w:r>
    </w:p>
    <w:p>
      <w:pPr>
        <w:pStyle w:val="ListBullet"/>
      </w:pPr>
      <w:r>
        <w:t>rho_bulk: bulk density [g/cm^3]</w:t>
      </w:r>
    </w:p>
    <w:p>
      <w:pPr>
        <w:pStyle w:val="ListBullet"/>
      </w:pPr>
      <w:r>
        <w:t>A_pipe: pipe cross-section area [cm^2]</w:t>
      </w:r>
    </w:p>
    <w:p>
      <w:pPr>
        <w:pStyle w:val="ListBullet"/>
      </w:pPr>
      <w:r>
        <w:t>A_window: probe window area [cm^2]</w:t>
      </w:r>
    </w:p>
    <w:p>
      <w:pPr>
        <w:pStyle w:val="ListBullet"/>
      </w:pPr>
      <w:r>
        <w:t>d_pen: measurement (penetration) depth [cm]</w:t>
      </w:r>
    </w:p>
    <w:p>
      <w:pPr>
        <w:pStyle w:val="ListBullet"/>
      </w:pPr>
      <w:r>
        <w:t>T_acq: spectral acquisition time [s]</w:t>
      </w:r>
    </w:p>
    <w:p>
      <w:pPr>
        <w:pStyle w:val="ListBullet"/>
      </w:pPr>
      <w:r>
        <w:t>L_axial: axial sampling length (proxy for probe window diameter) [cm]</w:t>
      </w:r>
    </w:p>
    <w:p>
      <w:pPr>
        <w:pStyle w:val="Heading2"/>
      </w:pPr>
      <w:r>
        <w:t>Assumptions</w:t>
      </w:r>
    </w:p>
    <w:p>
      <w:pPr>
        <w:pStyle w:val="ListBullet"/>
      </w:pPr>
      <w:r>
        <w:t>plug-flow velocity profile (uniform across pipe cross-section)</w:t>
      </w:r>
    </w:p>
    <w:p>
      <w:pPr>
        <w:pStyle w:val="ListBullet"/>
      </w:pPr>
      <w:r>
        <w:t>uniform bulk density</w:t>
      </w:r>
    </w:p>
    <w:p>
      <w:pPr>
        <w:pStyle w:val="ListBullet"/>
      </w:pPr>
      <w:r>
        <w:t>circular pipe and circular probe window flush-mounted on the pipe wall</w:t>
      </w:r>
    </w:p>
    <w:p>
      <w:pPr>
        <w:pStyle w:val="ListBullet"/>
      </w:pPr>
      <w:r>
        <w:t>measurement depth is small relative to pipe diameter</w:t>
      </w:r>
    </w:p>
    <w:p>
      <w:pPr>
        <w:pStyle w:val="ListBullet"/>
      </w:pPr>
      <w:r>
        <w:t>axial sampling length approximated by probe window diameter</w:t>
      </w:r>
    </w:p>
    <w:p>
      <w:pPr>
        <w:pStyle w:val="ListBullet"/>
      </w:pPr>
      <w:r>
        <w:t>no turbulence, no particle segregation</w:t>
      </w:r>
    </w:p>
    <w:p>
      <w:pPr>
        <w:pStyle w:val="ListBullet"/>
      </w:pPr>
      <w:r>
        <w:t>no detailed radiative transfer model yet</w:t>
      </w:r>
    </w:p>
    <w:p>
      <w:pPr>
        <w:pStyle w:val="Heading2"/>
      </w:pPr>
      <w:r>
        <w:t>Input Parameters</w:t>
      </w:r>
    </w:p>
    <w:p>
      <w:r>
        <w:t>Baseline PAT rig configuration:</w:t>
      </w:r>
    </w:p>
    <w:p>
      <w:pPr>
        <w:pStyle w:val="ListBullet"/>
      </w:pPr>
      <w:r>
        <w:t>pipe diameter: 10.0 cm</w:t>
      </w:r>
    </w:p>
    <w:p>
      <w:pPr>
        <w:pStyle w:val="ListBullet"/>
      </w:pPr>
      <w:r>
        <w:t>probe window diameter: 0.5 cm (5 mm)</w:t>
      </w:r>
    </w:p>
    <w:p>
      <w:pPr>
        <w:pStyle w:val="ListBullet"/>
      </w:pPr>
      <w:r>
        <w:t>measurement depth: 0.1 cm (1 mm)</w:t>
      </w:r>
    </w:p>
    <w:p>
      <w:pPr>
        <w:pStyle w:val="ListBullet"/>
      </w:pPr>
      <w:r>
        <w:t>bulk density: 0.3 g/cm^3</w:t>
      </w:r>
    </w:p>
    <w:p>
      <w:pPr>
        <w:pStyle w:val="ListBullet"/>
      </w:pPr>
      <w:r>
        <w:t>throughput: 95 kg over 60 min</w:t>
      </w:r>
    </w:p>
    <w:p>
      <w:pPr>
        <w:pStyle w:val="ListBullet"/>
      </w:pPr>
      <w:r>
        <w:t>acquisition time: 1.0 s</w:t>
      </w:r>
    </w:p>
    <w:p>
      <w:pPr>
        <w:pStyle w:val="ListBullet"/>
      </w:pPr>
      <w:r>
        <w:t>axial sampling length model: window diameter</w:t>
      </w:r>
    </w:p>
    <w:p>
      <w:r>
        <w:t>Sweeps:</w:t>
      </w:r>
    </w:p>
    <w:p>
      <w:pPr>
        <w:pStyle w:val="ListBullet"/>
      </w:pPr>
      <w:r>
        <w:t>acquisition time: 0.1 s to 5.0 s (20 points)</w:t>
      </w:r>
    </w:p>
    <w:p>
      <w:pPr>
        <w:pStyle w:val="ListBullet"/>
      </w:pPr>
      <w:r>
        <w:t>2D sweep: throughput 10–90 kg × acquisition time 0.1–5.0 s</w:t>
      </w:r>
    </w:p>
    <w:p>
      <w:r>
        <w:t>Internal calculations use CGS units.</w:t>
      </w:r>
    </w:p>
    <w:p>
      <w:pPr>
        <w:pStyle w:val="Heading2"/>
      </w:pPr>
      <w:r>
        <w:t>Compute Effective Sample Size Metrics</w:t>
      </w:r>
    </w:p>
    <w:p>
      <w:r>
        <w:t>Run 1D acquisition-time sweep and 2D throughput × acquisition-time sweep.</w:t>
      </w:r>
    </w:p>
    <w:p>
      <w:pPr>
        <w:pStyle w:val="Heading2"/>
      </w:pPr>
      <w:r>
        <w:t>Interpretation of the Simulation Table</w:t>
      </w:r>
    </w:p>
    <w:p>
      <w:r>
        <w:t>Each row corresponds to one combination of operating parameters. Key columns:</w:t>
      </w:r>
    </w:p>
    <w:p>
      <w:pPr>
        <w:pStyle w:val="ListBullet"/>
      </w:pPr>
      <w:r>
        <w:t>probemassmg_instant: mass simultaneously illuminated at any instant</w:t>
      </w:r>
    </w:p>
    <w:p>
      <w:pPr>
        <w:pStyle w:val="ListBullet"/>
      </w:pPr>
      <w:r>
        <w:t>newmassmgperacq: unique material refreshed during one acquisition (plateaus at instantaneous mass)</w:t>
      </w:r>
    </w:p>
    <w:p>
      <w:pPr>
        <w:pStyle w:val="ListBullet"/>
      </w:pPr>
      <w:r>
        <w:t>masspassedmgperacq: total mass crossing the probe window plane during acquisition (grows linearly with time)</w:t>
      </w:r>
    </w:p>
    <w:p>
      <w:pPr>
        <w:pStyle w:val="ListBullet"/>
      </w:pPr>
      <w:r>
        <w:t>refreshfractionper_acq: fraction of probe volume replaced during acquisition (saturates at 1.0)</w:t>
      </w:r>
    </w:p>
    <w:p>
      <w:pPr>
        <w:pStyle w:val="ListBullet"/>
      </w:pPr>
      <w:r>
        <w:t>effectivesamplesize_mg: treated as new mass presented per acquisition</w:t>
      </w:r>
    </w:p>
    <w:p>
      <w:pPr>
        <w:pStyle w:val="Heading2"/>
      </w:pPr>
      <w:r>
        <w:t>Plot 1: New Mass per Acquisition vs Acquisition Time</w:t>
      </w:r>
    </w:p>
    <w:p>
      <w:r>
        <w:t>Shows how the unique mass contributing to a single spectrum changes with acquisition time. At short acquisition times the probe volume is only partially refreshed; at longer times the refresh fraction saturates at 1.0 and new mass plateaus.</w:t>
      </w:r>
    </w:p>
    <w:p>
      <w:pPr>
        <w:pStyle w:val="Heading2"/>
      </w:pPr>
      <w:r>
        <w:t>Plot 2: Mass Passed Probe Footprint vs Acquisition Time</w:t>
      </w:r>
    </w:p>
    <w:p>
      <w:r>
        <w:t>Unlike new mass, the mass that passes the probe footprint grows linearly with acquisition time and is not bounded by the instantaneous mass.</w:t>
      </w:r>
    </w:p>
    <w:p>
      <w:pPr>
        <w:pStyle w:val="Heading2"/>
      </w:pPr>
      <w:r>
        <w:t>Plot 3: Refresh Fraction vs Acquisition Time</w:t>
      </w:r>
    </w:p>
    <w:p>
      <w:r>
        <w:t>The refresh fraction indicates what fraction of the probe volume is replaced during one acquisition. It saturates at 1.0 when the powder advances at least one probe-window diameter.</w:t>
      </w:r>
    </w:p>
    <w:p>
      <w:pPr>
        <w:pStyle w:val="Heading2"/>
      </w:pPr>
      <w:r>
        <w:t>Plot 4: Heatmap — Mass Passed Probe Footprint (Throughput vs Acquisition Time)</w:t>
      </w:r>
    </w:p>
    <w:p>
      <w:r>
        <w:t>2D sensitivity map showing how mass passed the probe footprint depends jointly on throughput and acquisition time.</w:t>
      </w:r>
    </w:p>
    <w:p>
      <w:pPr>
        <w:pStyle w:val="Heading2"/>
      </w:pPr>
      <w:r>
        <w:t>Plot 5: Heatmap — New Mass per Acquisition (Throughput vs Acquisition Time)</w:t>
      </w:r>
    </w:p>
    <w:p>
      <w:r>
        <w:t>2D sensitivity map for the refresh-based unique-mass metric.</w:t>
      </w:r>
    </w:p>
    <w:p>
      <w:pPr>
        <w:pStyle w:val="Heading2"/>
      </w:pPr>
      <w:r>
        <w:t>Results Interpretation</w:t>
      </w:r>
    </w:p>
    <w:p>
      <w:pPr>
        <w:pStyle w:val="ListBullet"/>
      </w:pPr>
      <w:r>
        <w:t>new mass per acquisition saturates once the powder advance exceeds the probe window diameter (full refresh)</w:t>
      </w:r>
    </w:p>
    <w:p>
      <w:pPr>
        <w:pStyle w:val="ListBullet"/>
      </w:pPr>
      <w:r>
        <w:t>mass passed the probe footprint grows linearly with both acquisition time and throughput</w:t>
      </w:r>
    </w:p>
    <w:p>
      <w:pPr>
        <w:pStyle w:val="ListBullet"/>
      </w:pPr>
      <w:r>
        <w:t>at low throughput or short acquisition times, refresh fraction is small and the effective sample size is limited</w:t>
      </w:r>
    </w:p>
    <w:p>
      <w:pPr>
        <w:pStyle w:val="ListBullet"/>
      </w:pPr>
      <w:r>
        <w:t>the heatmaps reveal the operating envelope where effective sampling is most sensitive to parameter changes</w:t>
      </w:r>
    </w:p>
    <w:p>
      <w:pPr>
        <w:pStyle w:val="Heading2"/>
      </w:pPr>
      <w:r>
        <w:t>Practical Implications</w:t>
      </w:r>
    </w:p>
    <w:p>
      <w:pPr>
        <w:pStyle w:val="ListBullet"/>
      </w:pPr>
      <w:r>
        <w:t>acquisition time selection trades off spectral quality against how much unique material is sampled</w:t>
      </w:r>
    </w:p>
    <w:p>
      <w:pPr>
        <w:pStyle w:val="ListBullet"/>
      </w:pPr>
      <w:r>
        <w:t>throughput directly controls powder velocity and therefore refresh rate</w:t>
      </w:r>
    </w:p>
    <w:p>
      <w:pPr>
        <w:pStyle w:val="ListBullet"/>
      </w:pPr>
      <w:r>
        <w:t>for real-time PAT decisions, understanding whether the probe has seen enough unique material is critical</w:t>
      </w:r>
    </w:p>
    <w:p>
      <w:pPr>
        <w:pStyle w:val="Heading2"/>
      </w:pPr>
      <w:r>
        <w:t>Limitations</w:t>
      </w:r>
    </w:p>
    <w:p>
      <w:pPr>
        <w:pStyle w:val="ListBullet"/>
      </w:pPr>
      <w:r>
        <w:t>plug-flow assumption ignores radial velocity profile</w:t>
      </w:r>
    </w:p>
    <w:p>
      <w:pPr>
        <w:pStyle w:val="ListBullet"/>
      </w:pPr>
      <w:r>
        <w:t>no turbulence or mixing model</w:t>
      </w:r>
    </w:p>
    <w:p>
      <w:pPr>
        <w:pStyle w:val="ListBullet"/>
      </w:pPr>
      <w:r>
        <w:t>penetration depth is an effective parameter, not a sharp boundary</w:t>
      </w:r>
    </w:p>
    <w:p>
      <w:pPr>
        <w:pStyle w:val="ListBullet"/>
      </w:pPr>
      <w:r>
        <w:t>bulk density assumed uniform and constant</w:t>
      </w:r>
    </w:p>
    <w:p>
      <w:pPr>
        <w:pStyle w:val="ListBullet"/>
      </w:pPr>
      <w:r>
        <w:t>no particle-level sampling statistics</w:t>
      </w:r>
    </w:p>
    <w:p>
      <w:pPr>
        <w:pStyle w:val="ListBullet"/>
      </w:pPr>
      <w:r>
        <w:t>no correction factor for optical weighting yet</w:t>
      </w:r>
    </w:p>
    <w:p>
      <w:pPr>
        <w:pStyle w:val="Heading2"/>
      </w:pPr>
      <w:r>
        <w:t>Next Logical Extensions</w:t>
      </w:r>
    </w:p>
    <w:p>
      <w:pPr>
        <w:pStyle w:val="ListBullet"/>
      </w:pPr>
      <w:r>
        <w:t>radial velocity profile (laminar / turbulent)</w:t>
      </w:r>
    </w:p>
    <w:p>
      <w:pPr>
        <w:pStyle w:val="ListBullet"/>
      </w:pPr>
      <w:r>
        <w:t>particle count estimation from effective sample size</w:t>
      </w:r>
    </w:p>
    <w:p>
      <w:pPr>
        <w:pStyle w:val="ListBullet"/>
      </w:pPr>
      <w:r>
        <w:t>sensitivity analysis for measurement depth</w:t>
      </w:r>
    </w:p>
    <w:p>
      <w:pPr>
        <w:pStyle w:val="ListBullet"/>
      </w:pPr>
      <w:r>
        <w:t>uncertainty bands for penetration depth and bulk density</w:t>
      </w:r>
    </w:p>
    <w:p>
      <w:pPr>
        <w:pStyle w:val="ListBullet"/>
      </w:pPr>
      <w:r>
        <w:t>non-uniform optical weighting functions</w:t>
      </w:r>
    </w:p>
    <w:p>
      <w:pPr>
        <w:pStyle w:val="Heading2"/>
      </w:pPr>
      <w:r>
        <w:t>Export and Reporting</w:t>
      </w:r>
    </w:p>
    <w:p>
      <w:r>
        <w:t>This export section writes timestamped CSV, PNG, JSON, and Word outputs into the setup-specific reports/ folder. python-docx and nbformat are required for Word export with Markdown rendering.</w:t>
      </w:r>
    </w:p>
    <w:p>
      <w:pPr>
        <w:pStyle w:val="Heading1"/>
      </w:pPr>
      <w:r>
        <w:t>Purpose</w:t>
      </w:r>
    </w:p>
    <w:p>
      <w:r>
        <w:t>Setup E estimates the effective sample size for a PAT rig configuration where powder flows through a pipe past a flush-mounted NIR probe. It sweeps acquisition time and throughput to examine sensitivity of instantaneous mass, new mass per acquisition, and mass passed the probe footprint.</w:t>
      </w:r>
    </w:p>
    <w:p>
      <w:pPr>
        <w:pStyle w:val="Heading1"/>
      </w:pPr>
      <w:r>
        <w:t>Assumptions</w:t>
      </w:r>
    </w:p>
    <w:p>
      <w:r>
        <w:t>Plug-flow velocity profile, uniform bulk density, circular pipe and probe window, measurement depth small relative to pipe diameter, axial sampling length approximated by probe window diameter, no turbulence or mixing.</w:t>
      </w:r>
    </w:p>
    <w:p>
      <w:pPr>
        <w:pStyle w:val="Heading1"/>
      </w:pPr>
      <w:r>
        <w:t>Parameter Summary</w:t>
      </w:r>
    </w:p>
    <w:p>
      <w:pPr>
        <w:pStyle w:val="ListBullet"/>
      </w:pPr>
      <w:r>
        <w:t>Pipe diameter (cm): 10</w:t>
      </w:r>
    </w:p>
    <w:p>
      <w:pPr>
        <w:pStyle w:val="ListBullet"/>
      </w:pPr>
      <w:r>
        <w:t>Probe window diameter (cm): 0.5</w:t>
      </w:r>
    </w:p>
    <w:p>
      <w:pPr>
        <w:pStyle w:val="ListBullet"/>
      </w:pPr>
      <w:r>
        <w:t>Measurement depth (cm): 0.1</w:t>
      </w:r>
    </w:p>
    <w:p>
      <w:pPr>
        <w:pStyle w:val="ListBullet"/>
      </w:pPr>
      <w:r>
        <w:t>Bulk density (g/cm^3): 0.3</w:t>
      </w:r>
    </w:p>
    <w:p>
      <w:pPr>
        <w:pStyle w:val="ListBullet"/>
      </w:pPr>
      <w:r>
        <w:t>Throughput (kg): 95</w:t>
      </w:r>
    </w:p>
    <w:p>
      <w:pPr>
        <w:pStyle w:val="ListBullet"/>
      </w:pPr>
      <w:r>
        <w:t>Throughput time (s): 3600</w:t>
      </w:r>
    </w:p>
    <w:p>
      <w:pPr>
        <w:pStyle w:val="ListBullet"/>
      </w:pPr>
      <w:r>
        <w:t>Acquisition time range (s): 0.1 to 5.0</w:t>
      </w:r>
    </w:p>
    <w:p>
      <w:pPr>
        <w:pStyle w:val="ListBullet"/>
      </w:pPr>
      <w:r>
        <w:t>Axial length model: window_diameter</w:t>
      </w:r>
    </w:p>
    <w:p>
      <w:pPr>
        <w:pStyle w:val="Heading1"/>
      </w:pPr>
      <w:r>
        <w:t>Exported CSV Files</w:t>
      </w:r>
    </w:p>
    <w:p>
      <w:pPr>
        <w:pStyle w:val="ListBullet"/>
      </w:pPr>
      <w:r>
        <w:t>results_full.csv</w:t>
      </w:r>
    </w:p>
    <w:p>
      <w:pPr>
        <w:pStyle w:val="ListBullet"/>
      </w:pPr>
      <w:r>
        <w:t>summary_table.csv</w:t>
      </w:r>
    </w:p>
    <w:p>
      <w:pPr>
        <w:pStyle w:val="ListBullet"/>
      </w:pPr>
      <w:r>
        <w:t>input_summary.csv</w:t>
      </w:r>
    </w:p>
    <w:p>
      <w:r>
        <w:t>Detailed tables are saved separately as CSV files in the run folder.</w:t>
      </w:r>
    </w:p>
    <w:p>
      <w:pPr>
        <w:pStyle w:val="Heading1"/>
      </w:pPr>
      <w:r>
        <w:t>Figures</w:t>
      </w:r>
    </w:p>
    <w:p>
      <w:pPr>
        <w:pStyle w:val="ListBullet"/>
      </w:pPr>
      <w:r>
        <w:t>plot_01_new_mass_per_acq_vs_acquisition_time.png</w:t>
      </w:r>
    </w:p>
    <w:p>
      <w:r>
        <w:drawing>
          <wp:inline xmlns:a="http://schemas.openxmlformats.org/drawingml/2006/main" xmlns:pic="http://schemas.openxmlformats.org/drawingml/2006/picture">
            <wp:extent cx="5715000" cy="3635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1_new_mass_per_acq_vs_acquisition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plot_02_mass_passed_vs_acquisition_time.png</w:t>
      </w:r>
    </w:p>
    <w:p>
      <w:r>
        <w:drawing>
          <wp:inline xmlns:a="http://schemas.openxmlformats.org/drawingml/2006/main" xmlns:pic="http://schemas.openxmlformats.org/drawingml/2006/picture">
            <wp:extent cx="5715000" cy="363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2_mass_passed_vs_acquisition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plot_03_refresh_fraction_vs_acquisition_time.png</w:t>
      </w:r>
    </w:p>
    <w:p>
      <w:r>
        <w:drawing>
          <wp:inline xmlns:a="http://schemas.openxmlformats.org/drawingml/2006/main" xmlns:pic="http://schemas.openxmlformats.org/drawingml/2006/picture">
            <wp:extent cx="5715000" cy="363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3_refresh_fraction_vs_acquisition_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plot_04_heatmap_mass_passed_throughput_vs_acquisition.png</w:t>
      </w:r>
    </w:p>
    <w:p>
      <w:r>
        <w:drawing>
          <wp:inline xmlns:a="http://schemas.openxmlformats.org/drawingml/2006/main" xmlns:pic="http://schemas.openxmlformats.org/drawingml/2006/picture">
            <wp:extent cx="5715000" cy="39424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4_heatmap_mass_passed_throughput_vs_acquisi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plot_05_heatmap_new_mass_throughput_vs_acquisition.png</w:t>
      </w:r>
    </w:p>
    <w:p>
      <w:r>
        <w:drawing>
          <wp:inline xmlns:a="http://schemas.openxmlformats.org/drawingml/2006/main" xmlns:pic="http://schemas.openxmlformats.org/drawingml/2006/picture">
            <wp:extent cx="5715000" cy="40274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5_heatmap_new_mass_throughput_vs_acqui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Closing Note</w:t>
      </w:r>
    </w:p>
    <w:p>
      <w:r>
        <w:t>This report captures the notebook narrative, summary metadata, and exported artifacts for this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