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20260320_143650</w:t>
      </w:r>
    </w:p>
    <w:p>
      <w:r>
        <w:t>Notebook filename: setup_D_pipe_effective_sample_size.ipynb</w:t>
      </w:r>
    </w:p>
    <w:p>
      <w:r>
        <w:t>Run directory: C:\temp files\EFS\reports\setup_d\20260320_143650</w:t>
      </w:r>
    </w:p>
    <w:p>
      <w:pPr>
        <w:pStyle w:val="Heading1"/>
      </w:pPr>
      <w:r>
        <w:t>Notebook Narrative</w:t>
      </w:r>
    </w:p>
    <w:p>
      <w:pPr>
        <w:pStyle w:val="Heading1"/>
      </w:pPr>
      <w:r>
        <w:t>Setup D: inclined pipe effective sample size proxy</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proxy during one spectrum acquisition.</w:t>
      </w:r>
    </w:p>
    <w:p>
      <w:r>
        <w:t>The result is best interpreted as a gross refreshed optical mass / effective sample size proxy.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proxy,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proxy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270243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proxy:</w:t>
      </w:r>
    </w:p>
    <w:p>
      <w:r>
        <w:drawing>
          <wp:inline xmlns:a="http://schemas.openxmlformats.org/drawingml/2006/main" xmlns:pic="http://schemas.openxmlformats.org/drawingml/2006/picture">
            <wp:extent cx="5257800" cy="690086"/>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690086"/>
                    </a:xfrm>
                    <a:prstGeom prst="rect"/>
                  </pic:spPr>
                </pic:pic>
              </a:graphicData>
            </a:graphic>
          </wp:inline>
        </w:drawing>
      </w:r>
    </w:p>
    <w:p>
      <w:r>
        <w:t>Equivalent transported-volume view:</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Under the simplified assumptions, these forms are equivalent because the probe footprint is refreshed by translation of material past the window. 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proxy, not necessarily an independent sampling mass.</w:t>
      </w:r>
    </w:p>
    <w:p>
      <w:pPr>
        <w:pStyle w:val="Heading3"/>
      </w:pPr>
      <w:r>
        <w:t>Density cancellation under the simplified assumptions</w:t>
      </w:r>
    </w:p>
    <w:p>
      <w:r>
        <w:t>Starting from:</w:t>
      </w:r>
    </w:p>
    <w:p>
      <w:r>
        <w:drawing>
          <wp:inline xmlns:a="http://schemas.openxmlformats.org/drawingml/2006/main" xmlns:pic="http://schemas.openxmlformats.org/drawingml/2006/picture">
            <wp:extent cx="5257800" cy="759570"/>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759570"/>
                    </a:xfrm>
                    <a:prstGeom prst="rect"/>
                  </pic:spPr>
                </pic:pic>
              </a:graphicData>
            </a:graphic>
          </wp:inline>
        </w:drawing>
      </w:r>
    </w:p>
    <w:p>
      <w:r>
        <w:t>and substituting:</w:t>
      </w:r>
    </w:p>
    <w:p>
      <w:r>
        <w:drawing>
          <wp:inline xmlns:a="http://schemas.openxmlformats.org/drawingml/2006/main" xmlns:pic="http://schemas.openxmlformats.org/drawingml/2006/picture">
            <wp:extent cx="5257800" cy="2702436"/>
            <wp:docPr id="14" name="Picture 1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gives:</w:t>
      </w:r>
    </w:p>
    <w:p>
      <w:r>
        <w:drawing>
          <wp:inline xmlns:a="http://schemas.openxmlformats.org/drawingml/2006/main" xmlns:pic="http://schemas.openxmlformats.org/drawingml/2006/picture">
            <wp:extent cx="5257800" cy="667336"/>
            <wp:docPr id="15" name="Picture 15"/>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667336"/>
                    </a:xfrm>
                    <a:prstGeom prst="rect"/>
                  </pic:spPr>
                </pic:pic>
              </a:graphicData>
            </a:graphic>
          </wp:inline>
        </w:drawing>
      </w:r>
    </w:p>
    <w:p>
      <w:r>
        <w:drawing>
          <wp:inline xmlns:a="http://schemas.openxmlformats.org/drawingml/2006/main" xmlns:pic="http://schemas.openxmlformats.org/drawingml/2006/picture">
            <wp:extent cx="5257800" cy="637439"/>
            <wp:docPr id="16" name="Picture 16"/>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637439"/>
                    </a:xfrm>
                    <a:prstGeom prst="rect"/>
                  </pic:spPr>
                </pic:pic>
              </a:graphicData>
            </a:graphic>
          </wp:inline>
        </w:drawing>
      </w:r>
    </w:p>
    <w:p>
      <w:r>
        <w:drawing>
          <wp:inline xmlns:a="http://schemas.openxmlformats.org/drawingml/2006/main" xmlns:pic="http://schemas.openxmlformats.org/drawingml/2006/picture">
            <wp:extent cx="5257800" cy="1015344"/>
            <wp:docPr id="17" name="Picture 17"/>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1015344"/>
                    </a:xfrm>
                    <a:prstGeom prst="rect"/>
                  </pic:spPr>
                </pic:pic>
              </a:graphicData>
            </a:graphic>
          </wp:inline>
        </w:drawing>
      </w:r>
    </w:p>
    <w:p>
      <w:r>
        <w:t>So, in this specific simplified model, density cancels completely for the effective sample size proxy when throughput is fixed in mass units and the whole pipe cross-section is assumed to participate in the superficial flow. Physically, a higher density increases the static optical mass seen at one instant, but it simultaneously reduces the superficial velocity in the same proportion. The larger mass per refresh and the smaller number of refreshes offset each other.</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proxy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proxy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5"/>
                    <a:stretch>
                      <a:fillRect/>
                    </a:stretch>
                  </pic:blipFill>
                  <pic:spPr>
                    <a:xfrm>
                      <a:off x="0" y="0"/>
                      <a:ext cx="5715000" cy="3706448"/>
                    </a:xfrm>
                    <a:prstGeom prst="rect"/>
                  </pic:spPr>
                </pic:pic>
              </a:graphicData>
            </a:graphic>
          </wp:inline>
        </w:drawing>
      </w:r>
    </w:p>
    <w:p>
      <w:pPr>
        <w:pStyle w:val="ListBullet"/>
      </w:pPr>
      <w:r>
        <w:t>plot_02_proxy_vs_throughput.png</w:t>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6"/>
                    <a:stretch>
                      <a:fillRect/>
                    </a:stretch>
                  </pic:blipFill>
                  <pic:spPr>
                    <a:xfrm>
                      <a:off x="0" y="0"/>
                      <a:ext cx="5715000" cy="3706448"/>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heatmap_density_05.png"/>
                    <pic:cNvPicPr/>
                  </pic:nvPicPr>
                  <pic:blipFill>
                    <a:blip r:embed="rId27"/>
                    <a:stretch>
                      <a:fillRect/>
                    </a:stretch>
                  </pic:blipFill>
                  <pic:spPr>
                    <a:xfrm>
                      <a:off x="0" y="0"/>
                      <a:ext cx="5715000" cy="3713408"/>
                    </a:xfrm>
                    <a:prstGeom prst="rect"/>
                  </pic:spPr>
                </pic:pic>
              </a:graphicData>
            </a:graphic>
          </wp:inline>
        </w:drawing>
      </w:r>
    </w:p>
    <w:p>
      <w:pPr>
        <w:pStyle w:val="ListBullet"/>
      </w:pPr>
      <w:r>
        <w:t>plot_04_superficial_velocity_vs_throughput.png</w:t>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8"/>
                    <a:stretch>
                      <a:fillRect/>
                    </a:stretch>
                  </pic:blipFill>
                  <pic:spPr>
                    <a:xfrm>
                      <a:off x="0" y="0"/>
                      <a:ext cx="5715000" cy="3706448"/>
                    </a:xfrm>
                    <a:prstGeom prst="rect"/>
                  </pic:spPr>
                </pic:pic>
              </a:graphicData>
            </a:graphic>
          </wp:inline>
        </w:drawing>
      </w:r>
    </w:p>
    <w:p>
      <w:pPr>
        <w:pStyle w:val="ListBullet"/>
      </w:pPr>
      <w:r>
        <w:t>plot_05_optical_mass_per_refresh.png</w:t>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9"/>
                    <a:stretch>
                      <a:fillRect/>
                    </a:stretch>
                  </pic:blipFill>
                  <pic:spPr>
                    <a:xfrm>
                      <a:off x="0" y="0"/>
                      <a:ext cx="5715000" cy="3706448"/>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contour_density_06.png"/>
                    <pic:cNvPicPr/>
                  </pic:nvPicPr>
                  <pic:blipFill>
                    <a:blip r:embed="rId30"/>
                    <a:stretch>
                      <a:fillRect/>
                    </a:stretch>
                  </pic:blipFill>
                  <pic:spPr>
                    <a:xfrm>
                      <a:off x="0" y="0"/>
                      <a:ext cx="5715000" cy="3713408"/>
                    </a:xfrm>
                    <a:prstGeom prst="rect"/>
                  </pic:spPr>
                </pic:pic>
              </a:graphicData>
            </a:graphic>
          </wp:inline>
        </w:drawing>
      </w:r>
    </w:p>
    <w:p>
      <w:pPr>
        <w:pStyle w:val="ListBullet"/>
      </w:pPr>
      <w:r>
        <w:t>plot_07_passed_mass_vs_throughput.png</w:t>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passed_mass_vs_throughput.png"/>
                    <pic:cNvPicPr/>
                  </pic:nvPicPr>
                  <pic:blipFill>
                    <a:blip r:embed="rId31"/>
                    <a:stretch>
                      <a:fillRect/>
                    </a:stretch>
                  </pic:blipFill>
                  <pic:spPr>
                    <a:xfrm>
                      <a:off x="0" y="0"/>
                      <a:ext cx="5715000" cy="37064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