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Proxy Report</w:t>
      </w:r>
    </w:p>
    <w:p>
      <w:pPr>
        <w:pStyle w:val="Heading1"/>
      </w:pPr>
      <w:r>
        <w:t>Run Metadata</w:t>
      </w:r>
    </w:p>
    <w:p>
      <w:r>
        <w:t>Setup name: setup_d</w:t>
      </w:r>
    </w:p>
    <w:p>
      <w:r>
        <w:t>Run timestamp: 20260414_145538</w:t>
      </w:r>
    </w:p>
    <w:p>
      <w:r>
        <w:t>Notebook filename: setup_D_pipe_effective_sample_size.ipynb</w:t>
      </w:r>
    </w:p>
    <w:p>
      <w:r>
        <w:t>Run directory: C:\temp files\EFS\reports\setup_d\20260414_145538</w:t>
      </w:r>
    </w:p>
    <w:p>
      <w:pPr>
        <w:pStyle w:val="Heading1"/>
      </w:pPr>
      <w:r>
        <w:t>Notebook Narrative</w:t>
      </w:r>
    </w:p>
    <w:p>
      <w:pPr>
        <w:pStyle w:val="Heading1"/>
      </w:pPr>
      <w:r>
        <w:t>Setup D: inclined pipe effective sample size proxy</w:t>
      </w:r>
    </w:p>
    <w:p>
      <w:pPr>
        <w:pStyle w:val="Heading2"/>
      </w:pPr>
      <w:r>
        <w:t>1. Title and purpose</w:t>
      </w:r>
    </w:p>
    <w:p>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instantaneous optical interaction region with a simple geometric volume. Here, the near-wall optical region at any instant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basis for comparative analysis.</w:t>
      </w:r>
    </w:p>
    <w:p>
      <w:pPr>
        <w:pStyle w:val="Heading3"/>
      </w:pPr>
      <w:r>
        <w:t>Probe-flow geometry: perpendicular viewing</w:t>
      </w:r>
    </w:p>
    <w:p>
      <w:r>
        <w:t>In Setup D, the NIR probe is mounted in the pipe wall and looks radially inward toward the center of the pipe. The powder, meanwhile, flows axially along the length of the pipe. These two directions are perpendicular to each other.</w:t>
      </w:r>
    </w:p>
    <w:p>
      <w:r>
        <w:t>At any instant, the probe sees a shallow optical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r>
        <w:t>This perpendicular arrangement means three independent length scales govern the first-order model: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Direction</w:t>
            </w:r>
          </w:p>
        </w:tc>
        <w:tc>
          <w:tcPr>
            <w:tcW w:type="dxa" w:w="2880"/>
          </w:tcPr>
          <w:p>
            <w:r>
              <w:rPr>
                <w:b/>
                <w:sz w:val="18"/>
              </w:rPr>
              <w:t>Physical meaning</w:t>
            </w:r>
          </w:p>
        </w:tc>
        <w:tc>
          <w:tcPr>
            <w:tcW w:type="dxa" w:w="2880"/>
          </w:tcPr>
          <w:p>
            <w:r>
              <w:rPr>
                <w:b/>
                <w:sz w:val="18"/>
              </w:rPr>
              <w:t>Length scale</w:t>
            </w:r>
          </w:p>
        </w:tc>
      </w:tr>
      <w:tr>
        <w:tc>
          <w:tcPr>
            <w:tcW w:type="dxa" w:w="2880"/>
          </w:tcPr>
          <w:p>
            <w:r>
              <w:rPr>
                <w:sz w:val="18"/>
              </w:rPr>
              <w:t>Axial (along flow)</w:t>
            </w:r>
          </w:p>
        </w:tc>
        <w:tc>
          <w:tcPr>
            <w:tcW w:type="dxa" w:w="2880"/>
          </w:tcPr>
          <w:p>
            <w:r>
              <w:rPr>
                <w:sz w:val="18"/>
              </w:rPr>
              <w:t>distance powder travels during acquisition</w:t>
            </w:r>
          </w:p>
        </w:tc>
        <w:tc>
          <w:tcPr>
            <w:tcW w:type="dxa" w:w="2880"/>
          </w:tcPr>
          <w:p>
            <w:r>
              <w:rPr>
                <w:sz w:val="18"/>
              </w:rPr>
              <w:t>v * t_acq</w:t>
            </w:r>
          </w:p>
        </w:tc>
      </w:tr>
      <w:tr>
        <w:tc>
          <w:tcPr>
            <w:tcW w:type="dxa" w:w="2880"/>
          </w:tcPr>
          <w:p>
            <w:r>
              <w:rPr>
                <w:sz w:val="18"/>
              </w:rPr>
              <w:t>Tangential (in the wall plane)</w:t>
            </w:r>
          </w:p>
        </w:tc>
        <w:tc>
          <w:tcPr>
            <w:tcW w:type="dxa" w:w="2880"/>
          </w:tcPr>
          <w:p>
            <w:r>
              <w:rPr>
                <w:sz w:val="18"/>
              </w:rPr>
              <w:t>probe footprint width</w:t>
            </w:r>
          </w:p>
        </w:tc>
        <w:tc>
          <w:tcPr>
            <w:tcW w:type="dxa" w:w="2880"/>
          </w:tcPr>
          <w:p>
            <w:r>
              <w:rPr>
                <w:sz w:val="18"/>
              </w:rPr>
              <w:t>d_probe</w:t>
            </w:r>
          </w:p>
        </w:tc>
      </w:tr>
      <w:tr>
        <w:tc>
          <w:tcPr>
            <w:tcW w:type="dxa" w:w="2880"/>
          </w:tcPr>
          <w:p>
            <w:r>
              <w:rPr>
                <w:sz w:val="18"/>
              </w:rPr>
              <w:t>Radial (into powder)</w:t>
            </w:r>
          </w:p>
        </w:tc>
        <w:tc>
          <w:tcPr>
            <w:tcW w:type="dxa" w:w="2880"/>
          </w:tcPr>
          <w:p>
            <w:r>
              <w:rPr>
                <w:sz w:val="18"/>
              </w:rPr>
              <w:t>light penetration depth</w:t>
            </w:r>
          </w:p>
        </w:tc>
        <w:tc>
          <w:tcPr>
            <w:tcW w:type="dxa" w:w="2880"/>
          </w:tcPr>
          <w:p>
            <w:r>
              <w:rPr>
                <w:sz w:val="18"/>
              </w:rPr>
              <w:t>d_pen</w:t>
            </w:r>
          </w:p>
        </w:tc>
      </w:tr>
    </w:tbl>
    <w:p/>
    <w:p>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pPr>
        <w:pStyle w:val="Heading3"/>
      </w:pPr>
      <w:r>
        <w:t>Why moving powder increases the proxy effective mass during one acquisition</w:t>
      </w:r>
    </w:p>
    <w:p>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bulk density is constant and spatially uniform within each scenario</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1.8 s unless changed in the parameter cell</w:t>
      </w:r>
    </w:p>
    <w:p>
      <w:pPr>
        <w:pStyle w:val="Heading2"/>
      </w:pPr>
      <w:r>
        <w:t>11. Results tables</w:t>
      </w:r>
    </w:p>
    <w:p>
      <w:r>
        <w:t>All reported effective sample size values below are proxy values, i.e. evaluations of m_eff,proxy from the first-order renewal model.</w:t>
      </w:r>
    </w:p>
    <w:p>
      <w:pPr>
        <w:pStyle w:val="Heading2"/>
      </w:pPr>
      <w:r>
        <w:t>12. Visualization</w:t>
      </w:r>
    </w:p>
    <w:p>
      <w:r>
        <w:t>The plots below report either the effective sample size proxy or supporting quantities from the same first-order renewal model.</w:t>
      </w:r>
    </w:p>
    <w:p>
      <w:pPr>
        <w:pStyle w:val="Heading2"/>
      </w:pPr>
      <w:r>
        <w:t>13. Interpretation of trends</w:t>
      </w:r>
    </w:p>
    <w:p>
      <w:r>
        <w:t>Several clear trends appear in this first-order proxy model.</w:t>
      </w:r>
    </w:p>
    <w:p>
      <w:pPr>
        <w:pStyle w:val="ListBullet"/>
      </w:pPr>
      <w:r>
        <w:t>Increasing density increases the instantaneous optical mass linearly because mopt = rho Aprobe d_pen.</w:t>
      </w:r>
    </w:p>
    <w:p>
      <w:pPr>
        <w:pStyle w:val="ListBullet"/>
      </w:pPr>
      <w:r>
        <w:t>Increasing penetration depth increases the instantaneous optical mass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increases N_refresh and therefore increases the proxy effective mass during one acquisition.</w:t>
      </w:r>
    </w:p>
    <w:p>
      <w:pPr>
        <w:pStyle w:val="ListBullet"/>
      </w:pPr>
      <w:r>
        <w:t>The result should be interpreted as a refresh-based proxy effective mass, not as a validated independent sampling mass.</w:t>
      </w:r>
    </w:p>
    <w:p>
      <w:pPr>
        <w:pStyle w:val="Heading3"/>
      </w:pPr>
      <w:r>
        <w:t>Why density cancels within this model</w:t>
      </w:r>
    </w:p>
    <w:p>
      <w:r>
        <w:t>In this model, density enters in two places that act in opposite directions.</w:t>
      </w:r>
    </w:p>
    <w:p>
      <w:r>
        <w:t>Effect 1: more mass in the instantaneous optical region. A denser powder packs more grams into the same optical cylinder in front of the probe:</w:t>
      </w:r>
    </w:p>
    <w:p>
      <w:r>
        <w:drawing>
          <wp:inline xmlns:a="http://schemas.openxmlformats.org/drawingml/2006/main" xmlns:pic="http://schemas.openxmlformats.org/drawingml/2006/picture">
            <wp:extent cx="5257800" cy="801403"/>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732218"/>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732218"/>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w:t>
      </w:r>
    </w:p>
    <w:p>
      <w:r>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r>
        <w:t>Why density cancellation is model-dependent. 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14. Model limitations</w:t>
      </w:r>
    </w:p>
    <w:p>
      <w:r>
        <w:t>Important limitations of this simulation are:</w:t>
      </w:r>
    </w:p>
    <w:p>
      <w:pPr>
        <w:pStyle w:val="ListBullet"/>
      </w:pPr>
      <w:r>
        <w:t>no velocity profile resolution across the pipe cross-section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effects such as slip or compaction corrections</w:t>
      </w:r>
    </w:p>
    <w:p>
      <w:pPr>
        <w:pStyle w:val="ListBullet"/>
      </w:pPr>
      <w:r>
        <w:t>no segregation effects</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omissions are consistent with the notebook's role as a concise, first-order engineering proxy model rather than a full particulate-flow or radiative-transfer simulation.</w:t>
      </w:r>
    </w:p>
    <w:p>
      <w:pPr>
        <w:pStyle w:val="Heading2"/>
      </w:pPr>
      <w:r>
        <w:t>15. Conclusions</w:t>
      </w:r>
    </w:p>
    <w:p>
      <w:r>
        <w:t>This simulation estimates a first-order refresh-based effective sample size proxy for Setup D, expressed as proxy effective mass during one spectrum acquisition.</w:t>
      </w:r>
    </w:p>
    <w:p>
      <w:r>
        <w:t>Within this model, the strongest explicit drivers are:</w:t>
      </w:r>
    </w:p>
    <w:p>
      <w:pPr>
        <w:pStyle w:val="ListBullet"/>
      </w:pPr>
      <w:r>
        <w:t>throughput, which sets superficial velocity and renewal rate</w:t>
      </w:r>
    </w:p>
    <w:p>
      <w:pPr>
        <w:pStyle w:val="ListBullet"/>
      </w:pPr>
      <w:r>
        <w:t>penetration depth, which scales the instantaneous optical mass</w:t>
      </w:r>
    </w:p>
    <w:p>
      <w:pPr>
        <w:pStyle w:val="ListBullet"/>
      </w:pPr>
      <w:r>
        <w:t>probe and pipe geometry, which determine the footprint and characteristic refresh length</w:t>
      </w:r>
    </w:p>
    <w:p>
      <w:r>
        <w:t>The simulation is useful for comparative engineering analysis, quick scenario comparison, and sensitivity assessment during development. A more advanced model could incorporate local lower-wall flow kinematics, nonuniform filling, revisit behavior, optical path-length weighting, and wall-specific flow effects.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2"/>
      </w:pPr>
      <w:r>
        <w:t>Glossary of Variables and Symbols</w:t>
      </w:r>
    </w:p>
    <w:p>
      <w:r>
        <w:t>The table below summarizes the variables used in the governing equations.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Symbol</w:t>
            </w:r>
          </w:p>
        </w:tc>
        <w:tc>
          <w:tcPr>
            <w:tcW w:type="dxa" w:w="2160"/>
          </w:tcPr>
          <w:p>
            <w:r>
              <w:rPr>
                <w:b/>
                <w:sz w:val="18"/>
              </w:rPr>
              <w:t>Name</w:t>
            </w:r>
          </w:p>
        </w:tc>
        <w:tc>
          <w:tcPr>
            <w:tcW w:type="dxa" w:w="2160"/>
          </w:tcPr>
          <w:p>
            <w:r>
              <w:rPr>
                <w:b/>
                <w:sz w:val="18"/>
              </w:rPr>
              <w:t>Definition</w:t>
            </w:r>
          </w:p>
        </w:tc>
        <w:tc>
          <w:tcPr>
            <w:tcW w:type="dxa" w:w="2160"/>
          </w:tcPr>
          <w:p>
            <w:r>
              <w:rPr>
                <w:b/>
                <w:sz w:val="18"/>
              </w:rPr>
              <w:t>Units</w:t>
            </w:r>
          </w:p>
        </w:tc>
      </w:tr>
      <w:tr>
        <w:tc>
          <w:tcPr>
            <w:tcW w:type="dxa" w:w="2160"/>
          </w:tcPr>
          <w:p>
            <w:r>
              <w:rPr>
                <w:sz w:val="18"/>
              </w:rPr>
              <w:t>m_eff,proxy</w:t>
            </w:r>
          </w:p>
        </w:tc>
        <w:tc>
          <w:tcPr>
            <w:tcW w:type="dxa" w:w="2160"/>
          </w:tcPr>
          <w:p>
            <w:r>
              <w:rPr>
                <w:sz w:val="18"/>
              </w:rPr>
              <w:t>Effective sample size proxy</w:t>
            </w:r>
          </w:p>
        </w:tc>
        <w:tc>
          <w:tcPr>
            <w:tcW w:type="dxa" w:w="2160"/>
          </w:tcPr>
          <w:p>
            <w:r>
              <w:rPr>
                <w:sz w:val="18"/>
              </w:rPr>
              <w:t>Refresh-based proxy effective mass during one acquisition.</w:t>
            </w:r>
          </w:p>
        </w:tc>
        <w:tc>
          <w:tcPr>
            <w:tcW w:type="dxa" w:w="2160"/>
          </w:tcPr>
          <w:p>
            <w:r>
              <w:rPr>
                <w:sz w:val="18"/>
              </w:rPr>
              <w:t>g internally; mg reported</w:t>
            </w:r>
          </w:p>
        </w:tc>
      </w:tr>
      <w:tr>
        <w:tc>
          <w:tcPr>
            <w:tcW w:type="dxa" w:w="2160"/>
          </w:tcPr>
          <w:p>
            <w:r>
              <w:rPr>
                <w:sz w:val="18"/>
              </w:rPr>
              <w:t>m_opt</w:t>
            </w:r>
          </w:p>
        </w:tc>
        <w:tc>
          <w:tcPr>
            <w:tcW w:type="dxa" w:w="2160"/>
          </w:tcPr>
          <w:p>
            <w:r>
              <w:rPr>
                <w:sz w:val="18"/>
              </w:rPr>
              <w:t>Instantaneous optical mass</w:t>
            </w:r>
          </w:p>
        </w:tc>
        <w:tc>
          <w:tcPr>
            <w:tcW w:type="dxa" w:w="2160"/>
          </w:tcPr>
          <w:p>
            <w:r>
              <w:rPr>
                <w:sz w:val="18"/>
              </w:rPr>
              <w:t>Optical mass associated with the probe footprint and penetration depth at one instant.</w:t>
            </w:r>
          </w:p>
        </w:tc>
        <w:tc>
          <w:tcPr>
            <w:tcW w:type="dxa" w:w="2160"/>
          </w:tcPr>
          <w:p>
            <w:r>
              <w:rPr>
                <w:sz w:val="18"/>
              </w:rPr>
              <w:t>g internally; mg reported</w:t>
            </w:r>
          </w:p>
        </w:tc>
      </w:tr>
      <w:tr>
        <w:tc>
          <w:tcPr>
            <w:tcW w:type="dxa" w:w="2160"/>
          </w:tcPr>
          <w:p>
            <w:r>
              <w:rPr>
                <w:sz w:val="18"/>
              </w:rPr>
              <w:t>N_refresh</w:t>
            </w:r>
          </w:p>
        </w:tc>
        <w:tc>
          <w:tcPr>
            <w:tcW w:type="dxa" w:w="2160"/>
          </w:tcPr>
          <w:p>
            <w:r>
              <w:rPr>
                <w:sz w:val="18"/>
              </w:rPr>
              <w:t>Refresh factor</w:t>
            </w:r>
          </w:p>
        </w:tc>
        <w:tc>
          <w:tcPr>
            <w:tcW w:type="dxa" w:w="2160"/>
          </w:tcPr>
          <w:p>
            <w:r>
              <w:rPr>
                <w:sz w:val="18"/>
              </w:rPr>
              <w:t>Number of characteristic probe-length renewals during one acquisition.</w:t>
            </w:r>
          </w:p>
        </w:tc>
        <w:tc>
          <w:tcPr>
            <w:tcW w:type="dxa" w:w="2160"/>
          </w:tcPr>
          <w:p>
            <w:r>
              <w:rPr>
                <w:sz w:val="18"/>
              </w:rPr>
              <w:t>dimensionless</w:t>
            </w:r>
          </w:p>
        </w:tc>
      </w:tr>
      <w:tr>
        <w:tc>
          <w:tcPr>
            <w:tcW w:type="dxa" w:w="2160"/>
          </w:tcPr>
          <w:p>
            <w:r>
              <w:rPr>
                <w:sz w:val="18"/>
              </w:rPr>
              <w:t>dotm</w:t>
            </w:r>
          </w:p>
        </w:tc>
        <w:tc>
          <w:tcPr>
            <w:tcW w:type="dxa" w:w="2160"/>
          </w:tcPr>
          <w:p>
            <w:r>
              <w:rPr>
                <w:sz w:val="18"/>
              </w:rPr>
              <w:t>Mass throughput</w:t>
            </w:r>
          </w:p>
        </w:tc>
        <w:tc>
          <w:tcPr>
            <w:tcW w:type="dxa" w:w="2160"/>
          </w:tcPr>
          <w:p>
            <w:r>
              <w:rPr>
                <w:sz w:val="18"/>
              </w:rPr>
              <w:t>Bulk powder mass flow rate through the pipe.</w:t>
            </w:r>
          </w:p>
        </w:tc>
        <w:tc>
          <w:tcPr>
            <w:tcW w:type="dxa" w:w="2160"/>
          </w:tcPr>
          <w:p>
            <w:r>
              <w:rPr>
                <w:sz w:val="18"/>
              </w:rPr>
              <w:t>kg/h input; g/s internally</w:t>
            </w:r>
          </w:p>
        </w:tc>
      </w:tr>
      <w:tr>
        <w:tc>
          <w:tcPr>
            <w:tcW w:type="dxa" w:w="2160"/>
          </w:tcPr>
          <w:p>
            <w:r>
              <w:rPr>
                <w:sz w:val="18"/>
              </w:rPr>
              <w:t>rho</w:t>
            </w:r>
          </w:p>
        </w:tc>
        <w:tc>
          <w:tcPr>
            <w:tcW w:type="dxa" w:w="2160"/>
          </w:tcPr>
          <w:p>
            <w:r>
              <w:rPr>
                <w:sz w:val="18"/>
              </w:rPr>
              <w:t>Bulk density</w:t>
            </w:r>
          </w:p>
        </w:tc>
        <w:tc>
          <w:tcPr>
            <w:tcW w:type="dxa" w:w="2160"/>
          </w:tcPr>
          <w:p>
            <w:r>
              <w:rPr>
                <w:sz w:val="18"/>
              </w:rPr>
              <w:t>Assumed bulk density of the powder in a given scenario.</w:t>
            </w:r>
          </w:p>
        </w:tc>
        <w:tc>
          <w:tcPr>
            <w:tcW w:type="dxa" w:w="2160"/>
          </w:tcPr>
          <w:p>
            <w:r>
              <w:rPr>
                <w:sz w:val="18"/>
              </w:rPr>
              <w:t>g/cm^3</w:t>
            </w:r>
          </w:p>
        </w:tc>
      </w:tr>
      <w:tr>
        <w:tc>
          <w:tcPr>
            <w:tcW w:type="dxa" w:w="2160"/>
          </w:tcPr>
          <w:p>
            <w:r>
              <w:rPr>
                <w:sz w:val="18"/>
              </w:rPr>
              <w:t>v</w:t>
            </w:r>
          </w:p>
        </w:tc>
        <w:tc>
          <w:tcPr>
            <w:tcW w:type="dxa" w:w="2160"/>
          </w:tcPr>
          <w:p>
            <w:r>
              <w:rPr>
                <w:sz w:val="18"/>
              </w:rPr>
              <w:t>Superficial velocity</w:t>
            </w:r>
          </w:p>
        </w:tc>
        <w:tc>
          <w:tcPr>
            <w:tcW w:type="dxa" w:w="2160"/>
          </w:tcPr>
          <w:p>
            <w:r>
              <w:rPr>
                <w:sz w:val="18"/>
              </w:rPr>
              <w:t>Cross-sectional average axial velocity used as the renewal driver.</w:t>
            </w:r>
          </w:p>
        </w:tc>
        <w:tc>
          <w:tcPr>
            <w:tcW w:type="dxa" w:w="2160"/>
          </w:tcPr>
          <w:p>
            <w:r>
              <w:rPr>
                <w:sz w:val="18"/>
              </w:rPr>
              <w:t>cm/s</w:t>
            </w:r>
          </w:p>
        </w:tc>
      </w:tr>
      <w:tr>
        <w:tc>
          <w:tcPr>
            <w:tcW w:type="dxa" w:w="2160"/>
          </w:tcPr>
          <w:p>
            <w:r>
              <w:rPr>
                <w:sz w:val="18"/>
              </w:rPr>
              <w:t>A_probe</w:t>
            </w:r>
          </w:p>
        </w:tc>
        <w:tc>
          <w:tcPr>
            <w:tcW w:type="dxa" w:w="2160"/>
          </w:tcPr>
          <w:p>
            <w:r>
              <w:rPr>
                <w:sz w:val="18"/>
              </w:rPr>
              <w:t>Probe footprint area</w:t>
            </w:r>
          </w:p>
        </w:tc>
        <w:tc>
          <w:tcPr>
            <w:tcW w:type="dxa" w:w="2160"/>
          </w:tcPr>
          <w:p>
            <w:r>
              <w:rPr>
                <w:sz w:val="18"/>
              </w:rPr>
              <w:t>Circular area of the probe window in the wall plane.</w:t>
            </w:r>
          </w:p>
        </w:tc>
        <w:tc>
          <w:tcPr>
            <w:tcW w:type="dxa" w:w="2160"/>
          </w:tcPr>
          <w:p>
            <w:r>
              <w:rPr>
                <w:sz w:val="18"/>
              </w:rPr>
              <w:t>cm^2</w:t>
            </w:r>
          </w:p>
        </w:tc>
      </w:tr>
      <w:tr>
        <w:tc>
          <w:tcPr>
            <w:tcW w:type="dxa" w:w="2160"/>
          </w:tcPr>
          <w:p>
            <w:r>
              <w:rPr>
                <w:sz w:val="18"/>
              </w:rPr>
              <w:t>A_pipe</w:t>
            </w:r>
          </w:p>
        </w:tc>
        <w:tc>
          <w:tcPr>
            <w:tcW w:type="dxa" w:w="2160"/>
          </w:tcPr>
          <w:p>
            <w:r>
              <w:rPr>
                <w:sz w:val="18"/>
              </w:rPr>
              <w:t>Pipe cross-sectional area</w:t>
            </w:r>
          </w:p>
        </w:tc>
        <w:tc>
          <w:tcPr>
            <w:tcW w:type="dxa" w:w="2160"/>
          </w:tcPr>
          <w:p>
            <w:r>
              <w:rPr>
                <w:sz w:val="18"/>
              </w:rPr>
              <w:t>Internal cross-sectional area of the pipe.</w:t>
            </w:r>
          </w:p>
        </w:tc>
        <w:tc>
          <w:tcPr>
            <w:tcW w:type="dxa" w:w="2160"/>
          </w:tcPr>
          <w:p>
            <w:r>
              <w:rPr>
                <w:sz w:val="18"/>
              </w:rPr>
              <w:t>cm^2</w:t>
            </w:r>
          </w:p>
        </w:tc>
      </w:tr>
      <w:tr>
        <w:tc>
          <w:tcPr>
            <w:tcW w:type="dxa" w:w="2160"/>
          </w:tcPr>
          <w:p>
            <w:r>
              <w:rPr>
                <w:sz w:val="18"/>
              </w:rPr>
              <w:t>d_probe</w:t>
            </w:r>
          </w:p>
        </w:tc>
        <w:tc>
          <w:tcPr>
            <w:tcW w:type="dxa" w:w="2160"/>
          </w:tcPr>
          <w:p>
            <w:r>
              <w:rPr>
                <w:sz w:val="18"/>
              </w:rPr>
              <w:t>Probe diameter</w:t>
            </w:r>
          </w:p>
        </w:tc>
        <w:tc>
          <w:tcPr>
            <w:tcW w:type="dxa" w:w="2160"/>
          </w:tcPr>
          <w:p>
            <w:r>
              <w:rPr>
                <w:sz w:val="18"/>
              </w:rPr>
              <w:t>Diameter of the circular probe window.</w:t>
            </w:r>
          </w:p>
        </w:tc>
        <w:tc>
          <w:tcPr>
            <w:tcW w:type="dxa" w:w="2160"/>
          </w:tcPr>
          <w:p>
            <w:r>
              <w:rPr>
                <w:sz w:val="18"/>
              </w:rPr>
              <w:t>mm input; cm internally</w:t>
            </w:r>
          </w:p>
        </w:tc>
      </w:tr>
      <w:tr>
        <w:tc>
          <w:tcPr>
            <w:tcW w:type="dxa" w:w="2160"/>
          </w:tcPr>
          <w:p>
            <w:r>
              <w:rPr>
                <w:sz w:val="18"/>
              </w:rPr>
              <w:t>d_pipe</w:t>
            </w:r>
          </w:p>
        </w:tc>
        <w:tc>
          <w:tcPr>
            <w:tcW w:type="dxa" w:w="2160"/>
          </w:tcPr>
          <w:p>
            <w:r>
              <w:rPr>
                <w:sz w:val="18"/>
              </w:rPr>
              <w:t>Pipe diameter</w:t>
            </w:r>
          </w:p>
        </w:tc>
        <w:tc>
          <w:tcPr>
            <w:tcW w:type="dxa" w:w="2160"/>
          </w:tcPr>
          <w:p>
            <w:r>
              <w:rPr>
                <w:sz w:val="18"/>
              </w:rPr>
              <w:t>Internal diameter of the pipe.</w:t>
            </w:r>
          </w:p>
        </w:tc>
        <w:tc>
          <w:tcPr>
            <w:tcW w:type="dxa" w:w="2160"/>
          </w:tcPr>
          <w:p>
            <w:r>
              <w:rPr>
                <w:sz w:val="18"/>
              </w:rPr>
              <w:t>mm input; cm internally</w:t>
            </w:r>
          </w:p>
        </w:tc>
      </w:tr>
      <w:tr>
        <w:tc>
          <w:tcPr>
            <w:tcW w:type="dxa" w:w="2160"/>
          </w:tcPr>
          <w:p>
            <w:r>
              <w:rPr>
                <w:sz w:val="18"/>
              </w:rPr>
              <w:t>d_pen</w:t>
            </w:r>
          </w:p>
        </w:tc>
        <w:tc>
          <w:tcPr>
            <w:tcW w:type="dxa" w:w="2160"/>
          </w:tcPr>
          <w:p>
            <w:r>
              <w:rPr>
                <w:sz w:val="18"/>
              </w:rPr>
              <w:t>Penetration depth</w:t>
            </w:r>
          </w:p>
        </w:tc>
        <w:tc>
          <w:tcPr>
            <w:tcW w:type="dxa" w:w="2160"/>
          </w:tcPr>
          <w:p>
            <w:r>
              <w:rPr>
                <w:sz w:val="18"/>
              </w:rPr>
              <w:t>Assumed radial optical penetration depth into the powder.</w:t>
            </w:r>
          </w:p>
        </w:tc>
        <w:tc>
          <w:tcPr>
            <w:tcW w:type="dxa" w:w="2160"/>
          </w:tcPr>
          <w:p>
            <w:r>
              <w:rPr>
                <w:sz w:val="18"/>
              </w:rPr>
              <w:t>mm input; cm internally</w:t>
            </w:r>
          </w:p>
        </w:tc>
      </w:tr>
      <w:tr>
        <w:tc>
          <w:tcPr>
            <w:tcW w:type="dxa" w:w="2160"/>
          </w:tcPr>
          <w:p>
            <w:r>
              <w:rPr>
                <w:sz w:val="18"/>
              </w:rPr>
              <w:t>t_acq</w:t>
            </w:r>
          </w:p>
        </w:tc>
        <w:tc>
          <w:tcPr>
            <w:tcW w:type="dxa" w:w="2160"/>
          </w:tcPr>
          <w:p>
            <w:r>
              <w:rPr>
                <w:sz w:val="18"/>
              </w:rPr>
              <w:t>Acquisition time</w:t>
            </w:r>
          </w:p>
        </w:tc>
        <w:tc>
          <w:tcPr>
            <w:tcW w:type="dxa" w:w="2160"/>
          </w:tcPr>
          <w:p>
            <w:r>
              <w:rPr>
                <w:sz w:val="18"/>
              </w:rPr>
              <w:t>Spectrum acquisition time for one measurement.</w:t>
            </w:r>
          </w:p>
        </w:tc>
        <w:tc>
          <w:tcPr>
            <w:tcW w:type="dxa" w:w="2160"/>
          </w:tcPr>
          <w:p>
            <w:r>
              <w:rPr>
                <w:sz w:val="18"/>
              </w:rPr>
              <w:t>s</w:t>
            </w:r>
          </w:p>
        </w:tc>
      </w:tr>
    </w:tbl>
    <w:p/>
    <w:p>
      <w:pPr>
        <w:pStyle w:val="Heading1"/>
      </w:pPr>
      <w:r>
        <w:t>Purpose</w:t>
      </w:r>
    </w:p>
    <w:p>
      <w:r>
        <w:t>Setup D estimates a first-order refresh-based effective sample size proxy in a tilted pipe by combining instantaneous optical mass with a renewal factor derived from superficial velocity.</w:t>
      </w:r>
    </w:p>
    <w:p>
      <w:pPr>
        <w:pStyle w:val="Heading1"/>
      </w:pPr>
      <w:r>
        <w:t>Assumptions</w:t>
      </w:r>
    </w:p>
    <w:p>
      <w:r>
        <w:t>The optical region is approximated as a cylinder, renewal is represented by a first-order approximation with characteristic length of order d_probe, and the result is interpreted as a comparative engineering proxy.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 95.0 kg/h, 0.4 g/cm^3, a 5.0 mm probe, 1.0 mm penetration depth, and 1.8 s acquisition time.</w:t>
      </w:r>
    </w:p>
    <w:p>
      <w:r>
        <w:t>Computed proxy result: 56.2130 mg. Convective reference mass-flow proxy: 295.8580 mg.</w:t>
      </w:r>
    </w:p>
    <w:p>
      <w:pPr>
        <w:pStyle w:val="Heading1"/>
      </w:pPr>
      <w:r>
        <w:t>Parameter sweep</w:t>
      </w:r>
    </w:p>
    <w:p>
      <w:r>
        <w:t>Throughput spans 40-100 kg/h, density spans 0.4, 0.5, 0.6 g/cm^3, penetration depth spans 0.1-2.0 mm, and acquisition time is 1.8 s. Generated 780 scenarios.</w:t>
      </w:r>
    </w:p>
    <w:p>
      <w:pPr>
        <w:pStyle w:val="Heading1"/>
      </w:pPr>
      <w:r>
        <w:t>Visualization</w:t>
      </w:r>
    </w:p>
    <w:p>
      <w:r>
        <w:drawing>
          <wp:inline xmlns:a="http://schemas.openxmlformats.org/drawingml/2006/main" xmlns:pic="http://schemas.openxmlformats.org/drawingml/2006/picture">
            <wp:extent cx="5715000" cy="3706448"/>
            <wp:docPr id="5" name="Picture 5"/>
            <wp:cNvGraphicFramePr>
              <a:graphicFrameLocks noChangeAspect="1"/>
            </wp:cNvGraphicFramePr>
            <a:graphic>
              <a:graphicData uri="http://schemas.openxmlformats.org/drawingml/2006/picture">
                <pic:pic>
                  <pic:nvPicPr>
                    <pic:cNvPr id="0" name="plot_01_proxy_vs_penetration_depth.png"/>
                    <pic:cNvPicPr/>
                  </pic:nvPicPr>
                  <pic:blipFill>
                    <a:blip r:embed="rId13"/>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6" name="Picture 6"/>
            <wp:cNvGraphicFramePr>
              <a:graphicFrameLocks noChangeAspect="1"/>
            </wp:cNvGraphicFramePr>
            <a:graphic>
              <a:graphicData uri="http://schemas.openxmlformats.org/drawingml/2006/picture">
                <pic:pic>
                  <pic:nvPicPr>
                    <pic:cNvPr id="0" name="plot_02_proxy_vs_throughput.png"/>
                    <pic:cNvPicPr/>
                  </pic:nvPicPr>
                  <pic:blipFill>
                    <a:blip r:embed="rId1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7" name="Picture 7"/>
            <wp:cNvGraphicFramePr>
              <a:graphicFrameLocks noChangeAspect="1"/>
            </wp:cNvGraphicFramePr>
            <a:graphic>
              <a:graphicData uri="http://schemas.openxmlformats.org/drawingml/2006/picture">
                <pic:pic>
                  <pic:nvPicPr>
                    <pic:cNvPr id="0" name="plot_03_proxy_heatmap_density_05.png"/>
                    <pic:cNvPicPr/>
                  </pic:nvPicPr>
                  <pic:blipFill>
                    <a:blip r:embed="rId15"/>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8" name="Picture 8"/>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16"/>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9" name="Picture 9"/>
            <wp:cNvGraphicFramePr>
              <a:graphicFrameLocks noChangeAspect="1"/>
            </wp:cNvGraphicFramePr>
            <a:graphic>
              <a:graphicData uri="http://schemas.openxmlformats.org/drawingml/2006/picture">
                <pic:pic>
                  <pic:nvPicPr>
                    <pic:cNvPr id="0" name="plot_05_optical_mass_per_refresh.png"/>
                    <pic:cNvPicPr/>
                  </pic:nvPicPr>
                  <pic:blipFill>
                    <a:blip r:embed="rId1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10" name="Picture 10"/>
            <wp:cNvGraphicFramePr>
              <a:graphicFrameLocks noChangeAspect="1"/>
            </wp:cNvGraphicFramePr>
            <a:graphic>
              <a:graphicData uri="http://schemas.openxmlformats.org/drawingml/2006/picture">
                <pic:pic>
                  <pic:nvPicPr>
                    <pic:cNvPr id="0" name="plot_06_proxy_contour_density_06.png"/>
                    <pic:cNvPicPr/>
                  </pic:nvPicPr>
                  <pic:blipFill>
                    <a:blip r:embed="rId18"/>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11" name="Picture 11"/>
            <wp:cNvGraphicFramePr>
              <a:graphicFrameLocks noChangeAspect="1"/>
            </wp:cNvGraphicFramePr>
            <a:graphic>
              <a:graphicData uri="http://schemas.openxmlformats.org/drawingml/2006/picture">
                <pic:pic>
                  <pic:nvPicPr>
                    <pic:cNvPr id="0" name="plot_07_convective_reference_mass_proxy.png"/>
                    <pic:cNvPicPr/>
                  </pic:nvPicPr>
                  <pic:blipFill>
                    <a:blip r:embed="rId19"/>
                    <a:stretch>
                      <a:fillRect/>
                    </a:stretch>
                  </pic:blipFill>
                  <pic:spPr>
                    <a:xfrm>
                      <a:off x="0" y="0"/>
                      <a:ext cx="5715000" cy="3706448"/>
                    </a:xfrm>
                    <a:prstGeom prst="rect"/>
                  </pic:spPr>
                </pic:pic>
              </a:graphicData>
            </a:graphic>
          </wp:inline>
        </w:drawing>
      </w:r>
    </w:p>
    <w:p>
      <w:pPr>
        <w:pStyle w:val="Heading1"/>
      </w:pPr>
      <w:r>
        <w:t>Interpretation of trends</w:t>
      </w:r>
    </w:p>
    <w:p>
      <w:r>
        <w:t>The reported effective sample sizes are proxy values. The model combines instantaneous optical mass mopt with a refresh factor Nrefresh, so density cancellation is a model property, not a universal physical law.</w:t>
      </w:r>
    </w:p>
    <w:p>
      <w:pPr>
        <w:pStyle w:val="Heading1"/>
      </w:pPr>
      <w:r>
        <w:t>Model limitations</w:t>
      </w:r>
    </w:p>
    <w:p>
      <w:r>
        <w:t>Limitations include no velocity profile resolution, no residence-time distribution, unresolved re-sampling, no optical path-length distribution, no explicit wall slip or compaction correction, and no segregation model.</w:t>
      </w:r>
    </w:p>
    <w:p>
      <w:pPr>
        <w:pStyle w:val="Heading1"/>
      </w:pPr>
      <w:r>
        <w:t>Conclusions</w:t>
      </w:r>
    </w:p>
    <w:p>
      <w:r>
        <w:t>The notebook is intended for comparative engineering analysis and sensitivity assessment, not as an exact geometric or statistical sampling model.</w:t>
      </w:r>
    </w:p>
    <w:p>
      <w:pPr>
        <w:pStyle w:val="Heading1"/>
      </w:pPr>
      <w:r>
        <w:t>Glossary of Variables and Symbols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Symbol</w:t>
            </w:r>
          </w:p>
        </w:tc>
        <w:tc>
          <w:tcPr>
            <w:tcW w:type="dxa" w:w="2160"/>
          </w:tcPr>
          <w:p>
            <w:r>
              <w:rPr>
                <w:b/>
                <w:sz w:val="18"/>
              </w:rPr>
              <w:t>Name</w:t>
            </w:r>
          </w:p>
        </w:tc>
        <w:tc>
          <w:tcPr>
            <w:tcW w:type="dxa" w:w="2160"/>
          </w:tcPr>
          <w:p>
            <w:r>
              <w:rPr>
                <w:b/>
                <w:sz w:val="18"/>
              </w:rPr>
              <w:t>Definition</w:t>
            </w:r>
          </w:p>
        </w:tc>
        <w:tc>
          <w:tcPr>
            <w:tcW w:type="dxa" w:w="2160"/>
          </w:tcPr>
          <w:p>
            <w:r>
              <w:rPr>
                <w:b/>
                <w:sz w:val="18"/>
              </w:rPr>
              <w:t>Units</w:t>
            </w:r>
          </w:p>
        </w:tc>
      </w:tr>
      <w:tr>
        <w:tc>
          <w:tcPr>
            <w:tcW w:type="dxa" w:w="2160"/>
          </w:tcPr>
          <w:p>
            <w:r>
              <w:rPr>
                <w:sz w:val="18"/>
              </w:rPr>
              <w:t>m_eff,proxy</w:t>
            </w:r>
          </w:p>
        </w:tc>
        <w:tc>
          <w:tcPr>
            <w:tcW w:type="dxa" w:w="2160"/>
          </w:tcPr>
          <w:p>
            <w:r>
              <w:rPr>
                <w:sz w:val="18"/>
              </w:rPr>
              <w:t>Effective sample size proxy</w:t>
            </w:r>
          </w:p>
        </w:tc>
        <w:tc>
          <w:tcPr>
            <w:tcW w:type="dxa" w:w="2160"/>
          </w:tcPr>
          <w:p>
            <w:r>
              <w:rPr>
                <w:sz w:val="18"/>
              </w:rPr>
              <w:t>Refresh-based proxy effective mass during one acquisition.</w:t>
            </w:r>
          </w:p>
        </w:tc>
        <w:tc>
          <w:tcPr>
            <w:tcW w:type="dxa" w:w="2160"/>
          </w:tcPr>
          <w:p>
            <w:r>
              <w:rPr>
                <w:sz w:val="18"/>
              </w:rPr>
              <w:t>g internally; mg reported</w:t>
            </w:r>
          </w:p>
        </w:tc>
      </w:tr>
      <w:tr>
        <w:tc>
          <w:tcPr>
            <w:tcW w:type="dxa" w:w="2160"/>
          </w:tcPr>
          <w:p>
            <w:r>
              <w:rPr>
                <w:sz w:val="18"/>
              </w:rPr>
              <w:t>m_opt</w:t>
            </w:r>
          </w:p>
        </w:tc>
        <w:tc>
          <w:tcPr>
            <w:tcW w:type="dxa" w:w="2160"/>
          </w:tcPr>
          <w:p>
            <w:r>
              <w:rPr>
                <w:sz w:val="18"/>
              </w:rPr>
              <w:t>Instantaneous optical mass</w:t>
            </w:r>
          </w:p>
        </w:tc>
        <w:tc>
          <w:tcPr>
            <w:tcW w:type="dxa" w:w="2160"/>
          </w:tcPr>
          <w:p>
            <w:r>
              <w:rPr>
                <w:sz w:val="18"/>
              </w:rPr>
              <w:t>Optical mass at one instant near the probe.</w:t>
            </w:r>
          </w:p>
        </w:tc>
        <w:tc>
          <w:tcPr>
            <w:tcW w:type="dxa" w:w="2160"/>
          </w:tcPr>
          <w:p>
            <w:r>
              <w:rPr>
                <w:sz w:val="18"/>
              </w:rPr>
              <w:t>g internally; mg reported</w:t>
            </w:r>
          </w:p>
        </w:tc>
      </w:tr>
      <w:tr>
        <w:tc>
          <w:tcPr>
            <w:tcW w:type="dxa" w:w="2160"/>
          </w:tcPr>
          <w:p>
            <w:r>
              <w:rPr>
                <w:sz w:val="18"/>
              </w:rPr>
              <w:t>N_refresh</w:t>
            </w:r>
          </w:p>
        </w:tc>
        <w:tc>
          <w:tcPr>
            <w:tcW w:type="dxa" w:w="2160"/>
          </w:tcPr>
          <w:p>
            <w:r>
              <w:rPr>
                <w:sz w:val="18"/>
              </w:rPr>
              <w:t>Refresh factor</w:t>
            </w:r>
          </w:p>
        </w:tc>
        <w:tc>
          <w:tcPr>
            <w:tcW w:type="dxa" w:w="2160"/>
          </w:tcPr>
          <w:p>
            <w:r>
              <w:rPr>
                <w:sz w:val="18"/>
              </w:rPr>
              <w:t>Number of characteristic probe-length renewals during one acquisition.</w:t>
            </w:r>
          </w:p>
        </w:tc>
        <w:tc>
          <w:tcPr>
            <w:tcW w:type="dxa" w:w="2160"/>
          </w:tcPr>
          <w:p>
            <w:r>
              <w:rPr>
                <w:sz w:val="18"/>
              </w:rPr>
              <w:t>dimensionless</w:t>
            </w:r>
          </w:p>
        </w:tc>
      </w:tr>
      <w:tr>
        <w:tc>
          <w:tcPr>
            <w:tcW w:type="dxa" w:w="2160"/>
          </w:tcPr>
          <w:p>
            <w:r>
              <w:rPr>
                <w:sz w:val="18"/>
              </w:rPr>
              <w:t>m_dot</w:t>
            </w:r>
          </w:p>
        </w:tc>
        <w:tc>
          <w:tcPr>
            <w:tcW w:type="dxa" w:w="2160"/>
          </w:tcPr>
          <w:p>
            <w:r>
              <w:rPr>
                <w:sz w:val="18"/>
              </w:rPr>
              <w:t>Mass throughput</w:t>
            </w:r>
          </w:p>
        </w:tc>
        <w:tc>
          <w:tcPr>
            <w:tcW w:type="dxa" w:w="2160"/>
          </w:tcPr>
          <w:p>
            <w:r>
              <w:rPr>
                <w:sz w:val="18"/>
              </w:rPr>
              <w:t>Bulk powder mass flow rate through the pipe.</w:t>
            </w:r>
          </w:p>
        </w:tc>
        <w:tc>
          <w:tcPr>
            <w:tcW w:type="dxa" w:w="2160"/>
          </w:tcPr>
          <w:p>
            <w:r>
              <w:rPr>
                <w:sz w:val="18"/>
              </w:rPr>
              <w:t>kg/h input; g/s internally</w:t>
            </w:r>
          </w:p>
        </w:tc>
      </w:tr>
      <w:tr>
        <w:tc>
          <w:tcPr>
            <w:tcW w:type="dxa" w:w="2160"/>
          </w:tcPr>
          <w:p>
            <w:r>
              <w:rPr>
                <w:sz w:val="18"/>
              </w:rPr>
              <w:t>rho</w:t>
            </w:r>
          </w:p>
        </w:tc>
        <w:tc>
          <w:tcPr>
            <w:tcW w:type="dxa" w:w="2160"/>
          </w:tcPr>
          <w:p>
            <w:r>
              <w:rPr>
                <w:sz w:val="18"/>
              </w:rPr>
              <w:t>Bulk density</w:t>
            </w:r>
          </w:p>
        </w:tc>
        <w:tc>
          <w:tcPr>
            <w:tcW w:type="dxa" w:w="2160"/>
          </w:tcPr>
          <w:p>
            <w:r>
              <w:rPr>
                <w:sz w:val="18"/>
              </w:rPr>
              <w:t>Assumed bulk density of the powder.</w:t>
            </w:r>
          </w:p>
        </w:tc>
        <w:tc>
          <w:tcPr>
            <w:tcW w:type="dxa" w:w="2160"/>
          </w:tcPr>
          <w:p>
            <w:r>
              <w:rPr>
                <w:sz w:val="18"/>
              </w:rPr>
              <w:t>g/cm^3</w:t>
            </w:r>
          </w:p>
        </w:tc>
      </w:tr>
      <w:tr>
        <w:tc>
          <w:tcPr>
            <w:tcW w:type="dxa" w:w="2160"/>
          </w:tcPr>
          <w:p>
            <w:r>
              <w:rPr>
                <w:sz w:val="18"/>
              </w:rPr>
              <w:t>v</w:t>
            </w:r>
          </w:p>
        </w:tc>
        <w:tc>
          <w:tcPr>
            <w:tcW w:type="dxa" w:w="2160"/>
          </w:tcPr>
          <w:p>
            <w:r>
              <w:rPr>
                <w:sz w:val="18"/>
              </w:rPr>
              <w:t>Superficial velocity</w:t>
            </w:r>
          </w:p>
        </w:tc>
        <w:tc>
          <w:tcPr>
            <w:tcW w:type="dxa" w:w="2160"/>
          </w:tcPr>
          <w:p>
            <w:r>
              <w:rPr>
                <w:sz w:val="18"/>
              </w:rPr>
              <w:t>Cross-sectional average axial velocity used as the renewal driver.</w:t>
            </w:r>
          </w:p>
        </w:tc>
        <w:tc>
          <w:tcPr>
            <w:tcW w:type="dxa" w:w="2160"/>
          </w:tcPr>
          <w:p>
            <w:r>
              <w:rPr>
                <w:sz w:val="18"/>
              </w:rPr>
              <w:t>cm/s</w:t>
            </w:r>
          </w:p>
        </w:tc>
      </w:tr>
      <w:tr>
        <w:tc>
          <w:tcPr>
            <w:tcW w:type="dxa" w:w="2160"/>
          </w:tcPr>
          <w:p>
            <w:r>
              <w:rPr>
                <w:sz w:val="18"/>
              </w:rPr>
              <w:t>A_probe</w:t>
            </w:r>
          </w:p>
        </w:tc>
        <w:tc>
          <w:tcPr>
            <w:tcW w:type="dxa" w:w="2160"/>
          </w:tcPr>
          <w:p>
            <w:r>
              <w:rPr>
                <w:sz w:val="18"/>
              </w:rPr>
              <w:t>Probe footprint area</w:t>
            </w:r>
          </w:p>
        </w:tc>
        <w:tc>
          <w:tcPr>
            <w:tcW w:type="dxa" w:w="2160"/>
          </w:tcPr>
          <w:p>
            <w:r>
              <w:rPr>
                <w:sz w:val="18"/>
              </w:rPr>
              <w:t>Circular area of the probe window.</w:t>
            </w:r>
          </w:p>
        </w:tc>
        <w:tc>
          <w:tcPr>
            <w:tcW w:type="dxa" w:w="2160"/>
          </w:tcPr>
          <w:p>
            <w:r>
              <w:rPr>
                <w:sz w:val="18"/>
              </w:rPr>
              <w:t>cm^2</w:t>
            </w:r>
          </w:p>
        </w:tc>
      </w:tr>
      <w:tr>
        <w:tc>
          <w:tcPr>
            <w:tcW w:type="dxa" w:w="2160"/>
          </w:tcPr>
          <w:p>
            <w:r>
              <w:rPr>
                <w:sz w:val="18"/>
              </w:rPr>
              <w:t>A_pipe</w:t>
            </w:r>
          </w:p>
        </w:tc>
        <w:tc>
          <w:tcPr>
            <w:tcW w:type="dxa" w:w="2160"/>
          </w:tcPr>
          <w:p>
            <w:r>
              <w:rPr>
                <w:sz w:val="18"/>
              </w:rPr>
              <w:t>Pipe cross-sectional area</w:t>
            </w:r>
          </w:p>
        </w:tc>
        <w:tc>
          <w:tcPr>
            <w:tcW w:type="dxa" w:w="2160"/>
          </w:tcPr>
          <w:p>
            <w:r>
              <w:rPr>
                <w:sz w:val="18"/>
              </w:rPr>
              <w:t>Internal cross-sectional area of the pipe.</w:t>
            </w:r>
          </w:p>
        </w:tc>
        <w:tc>
          <w:tcPr>
            <w:tcW w:type="dxa" w:w="2160"/>
          </w:tcPr>
          <w:p>
            <w:r>
              <w:rPr>
                <w:sz w:val="18"/>
              </w:rPr>
              <w:t>cm^2</w:t>
            </w:r>
          </w:p>
        </w:tc>
      </w:tr>
      <w:tr>
        <w:tc>
          <w:tcPr>
            <w:tcW w:type="dxa" w:w="2160"/>
          </w:tcPr>
          <w:p>
            <w:r>
              <w:rPr>
                <w:sz w:val="18"/>
              </w:rPr>
              <w:t>d_probe</w:t>
            </w:r>
          </w:p>
        </w:tc>
        <w:tc>
          <w:tcPr>
            <w:tcW w:type="dxa" w:w="2160"/>
          </w:tcPr>
          <w:p>
            <w:r>
              <w:rPr>
                <w:sz w:val="18"/>
              </w:rPr>
              <w:t>Probe diameter</w:t>
            </w:r>
          </w:p>
        </w:tc>
        <w:tc>
          <w:tcPr>
            <w:tcW w:type="dxa" w:w="2160"/>
          </w:tcPr>
          <w:p>
            <w:r>
              <w:rPr>
                <w:sz w:val="18"/>
              </w:rPr>
              <w:t>Diameter of the circular probe window.</w:t>
            </w:r>
          </w:p>
        </w:tc>
        <w:tc>
          <w:tcPr>
            <w:tcW w:type="dxa" w:w="2160"/>
          </w:tcPr>
          <w:p>
            <w:r>
              <w:rPr>
                <w:sz w:val="18"/>
              </w:rPr>
              <w:t>mm input; cm internally</w:t>
            </w:r>
          </w:p>
        </w:tc>
      </w:tr>
      <w:tr>
        <w:tc>
          <w:tcPr>
            <w:tcW w:type="dxa" w:w="2160"/>
          </w:tcPr>
          <w:p>
            <w:r>
              <w:rPr>
                <w:sz w:val="18"/>
              </w:rPr>
              <w:t>d_pipe</w:t>
            </w:r>
          </w:p>
        </w:tc>
        <w:tc>
          <w:tcPr>
            <w:tcW w:type="dxa" w:w="2160"/>
          </w:tcPr>
          <w:p>
            <w:r>
              <w:rPr>
                <w:sz w:val="18"/>
              </w:rPr>
              <w:t>Pipe diameter</w:t>
            </w:r>
          </w:p>
        </w:tc>
        <w:tc>
          <w:tcPr>
            <w:tcW w:type="dxa" w:w="2160"/>
          </w:tcPr>
          <w:p>
            <w:r>
              <w:rPr>
                <w:sz w:val="18"/>
              </w:rPr>
              <w:t>Internal diameter of the pipe.</w:t>
            </w:r>
          </w:p>
        </w:tc>
        <w:tc>
          <w:tcPr>
            <w:tcW w:type="dxa" w:w="2160"/>
          </w:tcPr>
          <w:p>
            <w:r>
              <w:rPr>
                <w:sz w:val="18"/>
              </w:rPr>
              <w:t>mm input; cm internally</w:t>
            </w:r>
          </w:p>
        </w:tc>
      </w:tr>
      <w:tr>
        <w:tc>
          <w:tcPr>
            <w:tcW w:type="dxa" w:w="2160"/>
          </w:tcPr>
          <w:p>
            <w:r>
              <w:rPr>
                <w:sz w:val="18"/>
              </w:rPr>
              <w:t>d_pen</w:t>
            </w:r>
          </w:p>
        </w:tc>
        <w:tc>
          <w:tcPr>
            <w:tcW w:type="dxa" w:w="2160"/>
          </w:tcPr>
          <w:p>
            <w:r>
              <w:rPr>
                <w:sz w:val="18"/>
              </w:rPr>
              <w:t>Penetration depth</w:t>
            </w:r>
          </w:p>
        </w:tc>
        <w:tc>
          <w:tcPr>
            <w:tcW w:type="dxa" w:w="2160"/>
          </w:tcPr>
          <w:p>
            <w:r>
              <w:rPr>
                <w:sz w:val="18"/>
              </w:rPr>
              <w:t>Assumed radial optical penetration depth.</w:t>
            </w:r>
          </w:p>
        </w:tc>
        <w:tc>
          <w:tcPr>
            <w:tcW w:type="dxa" w:w="2160"/>
          </w:tcPr>
          <w:p>
            <w:r>
              <w:rPr>
                <w:sz w:val="18"/>
              </w:rPr>
              <w:t>mm input; cm internally</w:t>
            </w:r>
          </w:p>
        </w:tc>
      </w:tr>
      <w:tr>
        <w:tc>
          <w:tcPr>
            <w:tcW w:type="dxa" w:w="2160"/>
          </w:tcPr>
          <w:p>
            <w:r>
              <w:rPr>
                <w:sz w:val="18"/>
              </w:rPr>
              <w:t>t_acq</w:t>
            </w:r>
          </w:p>
        </w:tc>
        <w:tc>
          <w:tcPr>
            <w:tcW w:type="dxa" w:w="2160"/>
          </w:tcPr>
          <w:p>
            <w:r>
              <w:rPr>
                <w:sz w:val="18"/>
              </w:rPr>
              <w:t>Acquisition time</w:t>
            </w:r>
          </w:p>
        </w:tc>
        <w:tc>
          <w:tcPr>
            <w:tcW w:type="dxa" w:w="2160"/>
          </w:tcPr>
          <w:p>
            <w:r>
              <w:rPr>
                <w:sz w:val="18"/>
              </w:rPr>
              <w:t>Spectrum acquisition time.</w:t>
            </w:r>
          </w:p>
        </w:tc>
        <w:tc>
          <w:tcPr>
            <w:tcW w:type="dxa" w:w="2160"/>
          </w:tcPr>
          <w:p>
            <w:r>
              <w:rPr>
                <w:sz w:val="18"/>
              </w:rPr>
              <w:t>s</w:t>
            </w:r>
          </w:p>
        </w:tc>
      </w:tr>
    </w:tbl>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pPr>
        <w:pStyle w:val="ListBullet"/>
      </w:pPr>
      <w:r>
        <w:t>plot_02_proxy_vs_throughput.png</w:t>
      </w:r>
    </w:p>
    <w:p>
      <w:pPr>
        <w:pStyle w:val="ListBullet"/>
      </w:pPr>
      <w:r>
        <w:t>plot_03_proxy_heatmap_density_05.png</w:t>
      </w:r>
    </w:p>
    <w:p>
      <w:pPr>
        <w:pStyle w:val="ListBullet"/>
      </w:pPr>
      <w:r>
        <w:t>plot_04_superficial_velocity_vs_throughput.png</w:t>
      </w:r>
    </w:p>
    <w:p>
      <w:pPr>
        <w:pStyle w:val="ListBullet"/>
      </w:pPr>
      <w:r>
        <w:t>plot_05_optical_mass_per_refresh.png</w:t>
      </w:r>
    </w:p>
    <w:p>
      <w:pPr>
        <w:pStyle w:val="ListBullet"/>
      </w:pPr>
      <w:r>
        <w:t>plot_06_proxy_contour_density_06.png</w:t>
      </w:r>
    </w:p>
    <w:p>
      <w:pPr>
        <w:pStyle w:val="ListBullet"/>
      </w:pPr>
      <w:r>
        <w:t>plot_07_convective_reference_mass_proxy.png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