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E PAT Rig Effective Sample Size Report</w:t>
      </w:r>
    </w:p>
    <w:p>
      <w:r>
        <w:t>Setup: setup_e</w:t>
      </w:r>
    </w:p>
    <w:p>
      <w:r>
        <w:t>Report timestamp: 20260421_091203</w:t>
      </w:r>
    </w:p>
    <w:p>
      <w:r>
        <w:t>Source notebook: setup_E_PATrig_effective_sample_size.ipynb</w:t>
      </w:r>
    </w:p>
    <w:p>
      <w:pPr>
        <w:pStyle w:val="Heading1"/>
      </w:pPr>
      <w:r>
        <w:t>Executive summary</w:t>
      </w:r>
    </w:p>
    <w:p>
      <w:r>
        <w:t>Setup E treats the PAT rig as a level-controlled vertical sampling interface in which a half-filled dense powder column moves past a side-window non-contact NIR measurement location. The refactored study separates three sensitivities: penetration depth, acquisition time, and throughput-acquisition operating conditions, while keeping the 25 mm spot geometry fixed so that illuminated mass, refreshed new mass, and transported mass can be compared mechanistically.</w:t>
      </w:r>
    </w:p>
    <w:p>
      <w:pPr>
        <w:pStyle w:val="Heading1"/>
      </w:pPr>
      <w:r>
        <w:t>Key parameters</w:t>
      </w:r>
    </w:p>
    <w:p>
      <w:pPr>
        <w:pStyle w:val="ListBullet"/>
      </w:pPr>
      <w:r>
        <w:t>Pipe diameter (cm): 10</w:t>
      </w:r>
    </w:p>
    <w:p>
      <w:pPr>
        <w:pStyle w:val="ListBullet"/>
      </w:pPr>
      <w:r>
        <w:t>Total rig height (cm): 80</w:t>
      </w:r>
    </w:p>
    <w:p>
      <w:pPr>
        <w:pStyle w:val="ListBullet"/>
      </w:pPr>
      <w:r>
        <w:t>Maintained fill fraction (-): 0.5</w:t>
      </w:r>
    </w:p>
    <w:p>
      <w:pPr>
        <w:pStyle w:val="ListBullet"/>
      </w:pPr>
      <w:r>
        <w:t>Modeled filled height (cm): 40</w:t>
      </w:r>
    </w:p>
    <w:p>
      <w:pPr>
        <w:pStyle w:val="ListBullet"/>
      </w:pPr>
      <w:r>
        <w:t>Probe height from bottom (cm): 20</w:t>
      </w:r>
    </w:p>
    <w:p>
      <w:pPr>
        <w:pStyle w:val="ListBullet"/>
      </w:pPr>
      <w:r>
        <w:t>NIR spot diameter (cm): 2.5</w:t>
      </w:r>
    </w:p>
    <w:p>
      <w:pPr>
        <w:pStyle w:val="ListBullet"/>
      </w:pPr>
      <w:r>
        <w:t>Base measurement depth (cm): 0.1</w:t>
      </w:r>
    </w:p>
    <w:p>
      <w:pPr>
        <w:pStyle w:val="ListBullet"/>
      </w:pPr>
      <w:r>
        <w:t>Measurement depth sweep (mm): 0.1 to 2.0</w:t>
      </w:r>
    </w:p>
    <w:p>
      <w:pPr>
        <w:pStyle w:val="ListBullet"/>
      </w:pPr>
      <w:r>
        <w:t>Bulk density (g/cm^3): 0.3</w:t>
      </w:r>
    </w:p>
    <w:p>
      <w:pPr>
        <w:pStyle w:val="ListBullet"/>
      </w:pPr>
      <w:r>
        <w:t>Base throughput (kg/h): 95</w:t>
      </w:r>
    </w:p>
    <w:p>
      <w:pPr>
        <w:pStyle w:val="ListBullet"/>
      </w:pPr>
      <w:r>
        <w:t>Acquisition time sweep (s): 1.0 to 5.0</w:t>
      </w:r>
    </w:p>
    <w:p>
      <w:pPr>
        <w:pStyle w:val="ListBullet"/>
      </w:pPr>
      <w:r>
        <w:t>Throughput sweep (kg/h): 10 to 100</w:t>
      </w:r>
    </w:p>
    <w:p>
      <w:pPr>
        <w:pStyle w:val="ListBullet"/>
      </w:pPr>
      <w:r>
        <w:t>Axial length model: spot_diameter</w:t>
      </w:r>
    </w:p>
    <w:p>
      <w:pPr>
        <w:pStyle w:val="Heading2"/>
      </w:pPr>
      <w:r>
        <w:t>Background</w:t>
      </w:r>
    </w:p>
    <w:p>
      <w:r>
        <w:t>Setup E models a PAT (Process Analytical Technology) rig as a vertical cylindrical sampling interface fed continuously from an upstream manufacturing unit. A rotating outlet valve at the bottom controls discharge, while level sensors along the wall maintain the rig at approximately half full during operation.</w:t>
      </w:r>
    </w:p>
    <w:p>
      <w:r>
        <w:t>The primary NIR instrument views the powder through a side optical window positioned near the lower part of the rig. In the base case used here, the measurement location is placed one-quarter of the rig height above the bottom outlet and the non-contact NIR spot diameter is 25 mm.</w:t>
      </w:r>
    </w:p>
    <w:p>
      <w:r>
        <w:t>Three distinct mass metrics are relevant:</w:t>
      </w:r>
    </w:p>
    <w:p>
      <w:pPr>
        <w:pStyle w:val="ListNumber"/>
      </w:pPr>
      <w:r>
        <w:t>Instantaneous probed mass (m_inst): mass simultaneously illuminated at any single instant.</w:t>
      </w:r>
    </w:p>
    <w:p>
      <w:pPr>
        <w:pStyle w:val="ListNumber"/>
      </w:pPr>
      <w:r>
        <w:t>New mass presented per acquisition (m_new): unique material refreshed across the NIR spot during one acquisition time, bounded by the instantaneous mass.</w:t>
      </w:r>
    </w:p>
    <w:p>
      <w:pPr>
        <w:pStyle w:val="ListNumber"/>
      </w:pPr>
      <w:r>
        <w:t>Mass passed probe footprint (m_pass): total mass that crosses the probe footprint during acquisition and is not bounded by the instantaneous mass.</w:t>
      </w:r>
    </w:p>
    <w:p>
      <w:r>
        <w:t>This notebook treats the occupied lower section of the PAT rig as a first-order dense moving powder column. It uses the maintained fill level to determine whether the probe is covered by powder and then uses throughput-driven axial motion to estimate renewal at the probe position.</w:t>
      </w:r>
    </w:p>
    <w:p>
      <w:pPr>
        <w:pStyle w:val="Heading2"/>
      </w:pPr>
      <w:r>
        <w:t>Objective</w:t>
      </w:r>
    </w:p>
    <w:p>
      <w:r>
        <w:t>Compute instantaneous probed mass, new mass presented per acquisition, and mass passed the NIR spot footprint for a level-controlled PAT rig configuration. Use a half-filled base case with the measurement window located one-quarter of the rig height from the bottom, sweep acquisition time and throughput, and export results using the standard reporting workflow.</w:t>
      </w:r>
    </w:p>
    <w:p>
      <w:pPr>
        <w:pStyle w:val="Heading2"/>
      </w:pPr>
      <w:r>
        <w:t>Theory</w:t>
      </w:r>
    </w:p>
    <w:p>
      <w:pPr>
        <w:pStyle w:val="Heading3"/>
      </w:pPr>
      <w:r>
        <w:t>Level-controlled PAT rig geometry</w:t>
      </w:r>
    </w:p>
    <w:p>
      <w:r>
        <w:t>The PAT rig is modeled as a vertical cylinder of total height Hrig and internal diameter Dpipe. The level-control system maintains an approximately constant filled fraction f_fill, so the modeled filled height is:</w:t>
      </w:r>
    </w:p>
    <w:p>
      <w:r>
        <w:drawing>
          <wp:inline xmlns:a="http://schemas.openxmlformats.org/drawingml/2006/main" xmlns:pic="http://schemas.openxmlformats.org/drawingml/2006/picture">
            <wp:extent cx="5257800" cy="1333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NIR measurement location is placed at height z_probe above the outlet. A simple coverage indicator is then used:</w:t>
      </w:r>
    </w:p>
    <w:p>
      <w:r>
        <w:t>C_probe = begincases1, &amp; z_probe le H_fill \\ 0, &amp; z_probe &gt; H_fillendcases</w:t>
      </w:r>
    </w:p>
    <w:p>
      <w:r>
        <w:t>In the base case, the probe sits below the maintained fill level, so the optical window is treated as continuously covered by powder.</w:t>
      </w:r>
    </w:p>
    <w:p>
      <w:pPr>
        <w:pStyle w:val="Heading3"/>
      </w:pPr>
      <w:r>
        <w:t>Throughput-driven axial velocity</w:t>
      </w:r>
    </w:p>
    <w:p>
      <w:r>
        <w:t>Within the occupied lower section of the PAT rig, powder motion near the probe is approximated as a first-order dense moving column. The axial velocity is estimated from throughput and the full cylindrical cross-section:</w:t>
      </w:r>
    </w:p>
    <w:p>
      <w:r>
        <w:drawing>
          <wp:inline xmlns:a="http://schemas.openxmlformats.org/drawingml/2006/main" xmlns:pic="http://schemas.openxmlformats.org/drawingml/2006/picture">
            <wp:extent cx="5257800" cy="1981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where</w:t>
      </w:r>
    </w:p>
    <w:p>
      <w:r>
        <w:drawing>
          <wp:inline xmlns:a="http://schemas.openxmlformats.org/drawingml/2006/main" xmlns:pic="http://schemas.openxmlformats.org/drawingml/2006/picture">
            <wp:extent cx="5257800" cy="1429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is still a simplifying assumption: it ignores detailed wall slip, outlet-valve kinematics, and any nonuniform velocity profile near the probe.</w:t>
      </w:r>
    </w:p>
    <w:p>
      <w:pPr>
        <w:pStyle w:val="Heading3"/>
      </w:pPr>
      <w:r>
        <w:t>Instantaneous probed mass</w:t>
      </w:r>
    </w:p>
    <w:p>
      <w:r>
        <w:t>The non-contact NIR spot is represented as a circular optical footprint with area:</w:t>
      </w:r>
    </w:p>
    <w:p>
      <w:r>
        <w:drawing>
          <wp:inline xmlns:a="http://schemas.openxmlformats.org/drawingml/2006/main" xmlns:pic="http://schemas.openxmlformats.org/drawingml/2006/picture">
            <wp:extent cx="5257800" cy="1429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instantaneous probed mass, if the probe is covered, is:</w:t>
      </w:r>
    </w:p>
    <w:p>
      <w:r>
        <w:drawing>
          <wp:inline xmlns:a="http://schemas.openxmlformats.org/drawingml/2006/main" xmlns:pic="http://schemas.openxmlformats.org/drawingml/2006/picture">
            <wp:extent cx="5257800" cy="578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Axial advance and refresh fraction</w:t>
      </w:r>
    </w:p>
    <w:p>
      <w:r>
        <w:t>Axial advance during one acquisition is:</w:t>
      </w:r>
    </w:p>
    <w:p>
      <w:r>
        <w:drawing>
          <wp:inline xmlns:a="http://schemas.openxmlformats.org/drawingml/2006/main" xmlns:pic="http://schemas.openxmlformats.org/drawingml/2006/picture">
            <wp:extent cx="5257800" cy="1369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axial sampling length is represented by a proxy length L_axial. In the base case this is taken as the NIR spot diameter. The refresh fraction is then:</w:t>
      </w:r>
    </w:p>
    <w:p>
      <w:r>
        <w:drawing>
          <wp:inline xmlns:a="http://schemas.openxmlformats.org/drawingml/2006/main" xmlns:pic="http://schemas.openxmlformats.org/drawingml/2006/picture">
            <wp:extent cx="5257800" cy="7895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New mass and mass passed</w:t>
      </w:r>
    </w:p>
    <w:p>
      <w:r>
        <w:t>New mass presented per acquisition is:</w:t>
      </w:r>
    </w:p>
    <w:p>
      <w:r>
        <w:drawing>
          <wp:inline xmlns:a="http://schemas.openxmlformats.org/drawingml/2006/main" xmlns:pic="http://schemas.openxmlformats.org/drawingml/2006/picture">
            <wp:extent cx="5257800" cy="765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Mass passed the probe footprint during acquisition is:</w:t>
      </w:r>
    </w:p>
    <w:p>
      <w:r>
        <w:drawing>
          <wp:inline xmlns:a="http://schemas.openxmlformats.org/drawingml/2006/main" xmlns:pic="http://schemas.openxmlformats.org/drawingml/2006/picture">
            <wp:extent cx="5257800" cy="5174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Symbols and units:</w:t>
      </w:r>
    </w:p>
    <w:p>
      <w:pPr>
        <w:pStyle w:val="ListBullet"/>
      </w:pPr>
      <w:r>
        <w:t>dotm: mass flow rate [g/s]</w:t>
      </w:r>
    </w:p>
    <w:p>
      <w:pPr>
        <w:pStyle w:val="ListBullet"/>
      </w:pPr>
      <w:r>
        <w:t>rho_bulk: bulk density [g/cm^3]</w:t>
      </w:r>
    </w:p>
    <w:p>
      <w:pPr>
        <w:pStyle w:val="ListBullet"/>
      </w:pPr>
      <w:r>
        <w:t>A_pipe: pipe cross-section area [cm^2]</w:t>
      </w:r>
    </w:p>
    <w:p>
      <w:pPr>
        <w:pStyle w:val="ListBullet"/>
      </w:pPr>
      <w:r>
        <w:t>H_rig: total rig height [cm]</w:t>
      </w:r>
    </w:p>
    <w:p>
      <w:pPr>
        <w:pStyle w:val="ListBullet"/>
      </w:pPr>
      <w:r>
        <w:t>f_fill: maintained filled fraction [-]</w:t>
      </w:r>
    </w:p>
    <w:p>
      <w:pPr>
        <w:pStyle w:val="ListBullet"/>
      </w:pPr>
      <w:r>
        <w:t>H_fill: modeled filled height [cm]</w:t>
      </w:r>
    </w:p>
    <w:p>
      <w:pPr>
        <w:pStyle w:val="ListBullet"/>
      </w:pPr>
      <w:r>
        <w:t>z_probe: probe height above the outlet [cm]</w:t>
      </w:r>
    </w:p>
    <w:p>
      <w:pPr>
        <w:pStyle w:val="ListBullet"/>
      </w:pPr>
      <w:r>
        <w:t>C_probe: probe coverage indicator [-]</w:t>
      </w:r>
    </w:p>
    <w:p>
      <w:pPr>
        <w:pStyle w:val="ListBullet"/>
      </w:pPr>
      <w:r>
        <w:t>A_spot: NIR spot area [cm^2]</w:t>
      </w:r>
    </w:p>
    <w:p>
      <w:pPr>
        <w:pStyle w:val="ListBullet"/>
      </w:pPr>
      <w:r>
        <w:t>D_spot: NIR spot diameter [cm]</w:t>
      </w:r>
    </w:p>
    <w:p>
      <w:pPr>
        <w:pStyle w:val="ListBullet"/>
      </w:pPr>
      <w:r>
        <w:t>d_pen: measurement (penetration) depth [cm]</w:t>
      </w:r>
    </w:p>
    <w:p>
      <w:pPr>
        <w:pStyle w:val="ListBullet"/>
      </w:pPr>
      <w:r>
        <w:t>T_acq: spectral acquisition time [s]</w:t>
      </w:r>
    </w:p>
    <w:p>
      <w:pPr>
        <w:pStyle w:val="ListBullet"/>
      </w:pPr>
      <w:r>
        <w:t>L_axial: axial sampling length proxy [cm]</w:t>
      </w:r>
    </w:p>
    <w:p>
      <w:pPr>
        <w:pStyle w:val="Heading2"/>
      </w:pPr>
      <w:r>
        <w:t>Assumptions</w:t>
      </w:r>
    </w:p>
    <w:p>
      <w:pPr>
        <w:pStyle w:val="ListBullet"/>
      </w:pPr>
      <w:r>
        <w:t>vertical cylindrical PAT rig with top feed and bottom discharge through a rotating outlet valve</w:t>
      </w:r>
    </w:p>
    <w:p>
      <w:pPr>
        <w:pStyle w:val="ListBullet"/>
      </w:pPr>
      <w:r>
        <w:t>level sensors maintain an approximately constant filled fraction during operation</w:t>
      </w:r>
    </w:p>
    <w:p>
      <w:pPr>
        <w:pStyle w:val="ListBullet"/>
      </w:pPr>
      <w:r>
        <w:t>the occupied lower section is treated as a dense moving powder column near the probe</w:t>
      </w:r>
    </w:p>
    <w:p>
      <w:pPr>
        <w:pStyle w:val="ListBullet"/>
      </w:pPr>
      <w:r>
        <w:t>powder velocity at the probe is approximated from throughput and full pipe cross-section</w:t>
      </w:r>
    </w:p>
    <w:p>
      <w:pPr>
        <w:pStyle w:val="ListBullet"/>
      </w:pPr>
      <w:r>
        <w:t>the NIR spot is circular and viewed through a side optical window</w:t>
      </w:r>
    </w:p>
    <w:p>
      <w:pPr>
        <w:pStyle w:val="ListBullet"/>
      </w:pPr>
      <w:r>
        <w:t>the probe is treated as covered whenever its height is below the modeled fill height</w:t>
      </w:r>
    </w:p>
    <w:p>
      <w:pPr>
        <w:pStyle w:val="ListBullet"/>
      </w:pPr>
      <w:r>
        <w:t>measurement depth is small relative to pipe diameter</w:t>
      </w:r>
    </w:p>
    <w:p>
      <w:pPr>
        <w:pStyle w:val="ListBullet"/>
      </w:pPr>
      <w:r>
        <w:t>axial sampling length is approximated by the NIR spot diameter unless overridden</w:t>
      </w:r>
    </w:p>
    <w:p>
      <w:pPr>
        <w:pStyle w:val="ListBullet"/>
      </w:pPr>
      <w:r>
        <w:t>no explicit outlet-valve kinematics, turbulence, segregation, or wall-slip correction</w:t>
      </w:r>
    </w:p>
    <w:p>
      <w:pPr>
        <w:pStyle w:val="ListBullet"/>
      </w:pPr>
      <w:r>
        <w:t>no detailed radiative transfer model yet</w:t>
      </w:r>
    </w:p>
    <w:p>
      <w:pPr>
        <w:pStyle w:val="Heading2"/>
      </w:pPr>
      <w:r>
        <w:t>Compute Effective Sample Size Metrics</w:t>
      </w:r>
    </w:p>
    <w:p>
      <w:r>
        <w:t>Run a 1D penetration-depth sweep, a 1D acquisition-time sweep, and a 2D throughput x acquisition-time sweep while keeping the half-filled PAT rig geometry and 25 mm NIR spot fixed.</w:t>
      </w:r>
    </w:p>
    <w:p>
      <w:pPr>
        <w:pStyle w:val="Heading1"/>
      </w:pPr>
      <w:r>
        <w:t>Worked example</w:t>
      </w:r>
    </w:p>
    <w:p>
      <w:r>
        <w:t>The baseline case below reports the maintained fill height, probe position relative to the fill level, the base-case penetration depth, the instantaneous mass at the probe, the refreshed new mass during one acquisition, the total mass passed the NIR spot footprint, and the resulting refresh fraction.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filledheightcm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probeheightfrombottomcm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probesubmergencecm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probeiscovered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measurementdepthcm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velocitymms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11.1998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acquisitiontimes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refreshfractionper_acq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0.447992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probemassmg_instant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147.262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newmassmgperacq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65.9722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masspassedmgperacq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1649.31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effectivesamplesize_mg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65.9722</w:t>
            </w:r>
          </w:p>
        </w:tc>
      </w:tr>
    </w:tbl>
    <w:p/>
    <w:p>
      <w:pPr>
        <w:pStyle w:val="Heading1"/>
      </w:pPr>
      <w:r>
        <w:t>Model scenarios and sweep design</w:t>
      </w:r>
    </w:p>
    <w:p>
      <w:r>
        <w:t>The Setup E analysis combines a one-dimensional penetration-depth sweep, a one-dimensional acquisition-time sweep, and a two-dimensional throughput-by-acquisition-time sweep. This separates optical-depth sensitivity from renewal-time sensitivity while holding the PAT rig geometry and 25 mm spot size fixed.</w:t>
      </w:r>
    </w:p>
    <w:p>
      <w:pPr>
        <w:pStyle w:val="ListBullet"/>
      </w:pPr>
      <w:r>
        <w:t>penetration depth swept from 0.1 to 2.0 mm in 0.1 mm steps</w:t>
      </w:r>
    </w:p>
    <w:p>
      <w:pPr>
        <w:pStyle w:val="ListBullet"/>
      </w:pPr>
      <w:r>
        <w:t>acquisition time swept from 1.0 to 5.0 s</w:t>
      </w:r>
    </w:p>
    <w:p>
      <w:pPr>
        <w:pStyle w:val="ListBullet"/>
      </w:pPr>
      <w:r>
        <w:t>throughput swept from 10 to 100 kg/h</w:t>
      </w:r>
    </w:p>
    <w:p>
      <w:pPr>
        <w:pStyle w:val="ListBullet"/>
      </w:pPr>
      <w:r>
        <w:t>maintained fill fraction fixed at 0.50</w:t>
      </w:r>
    </w:p>
    <w:p>
      <w:pPr>
        <w:pStyle w:val="ListBullet"/>
      </w:pPr>
      <w:r>
        <w:t>probe height fixed at 20.0 cm from the bottom</w:t>
      </w:r>
    </w:p>
    <w:p>
      <w:pPr>
        <w:pStyle w:val="ListBullet"/>
      </w:pPr>
      <w:r>
        <w:t>NIR spot diameter fixed at 2.5 cm</w:t>
      </w:r>
    </w:p>
    <w:p>
      <w:pPr>
        <w:pStyle w:val="ListBullet"/>
      </w:pPr>
      <w:r>
        <w:t>axial sampling length model: spot_diameter</w:t>
      </w:r>
    </w:p>
    <w:p>
      <w:r>
        <w:t>This produces 440 modeled rows across the 1D and 2D sweeps.</w:t>
      </w:r>
    </w:p>
    <w:p>
      <w:pPr>
        <w:pStyle w:val="Heading1"/>
      </w:pPr>
      <w:r>
        <w:t>Selected results table</w:t>
      </w:r>
    </w:p>
    <w:p>
      <w:r>
        <w:t>The selected table below samples representative acquisition times from the revised 1-5 s sweep so the reader can compare fill condition, base penetration depth, instantaneous illuminated mass, refreshed new mass, passed mass, refresh fraction, and the resulting effective sample-size proxy side by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acquisitiontimes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measurementdepthcm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velocitymms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filledheightcm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probeheightfrombottomcm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probeiscovered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probemassmg_instant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newmassmgperacq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masspassedmgperacq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refreshfractionper_acq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effectivesamplesize_mg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65.9722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1649.3056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0.4480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65.9722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2.0526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135.4167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3385.4167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0.9196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135.4167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3.1053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5121.5278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5.0000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8246.5278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</w:tr>
    </w:tbl>
    <w:p/>
    <w:p>
      <w:pPr>
        <w:pStyle w:val="Heading1"/>
      </w:pPr>
      <w:r>
        <w:t>Figures</w:t>
      </w:r>
    </w:p>
    <w:p>
      <w:r>
        <w:t>The figures are ordered from one-dimensional depth and time mechanism checks to two-dimensional operating maps: effective sample size versus penetration depth, instantaneous probed mass versus penetration depth, effective sample size versus acquisition time, refresh fraction versus acquisition time, then the throughput-acquisition heatmaps.</w:t>
      </w:r>
    </w:p>
    <w:p>
      <w:r>
        <w:t>Figure 1. Effective sample size versus penetration depth for the half-filled PAT rig base case.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1_effective_sample_size_vs_penetration_dep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Instantaneous probed mass versus penetration depth for the 25 mm NIR spot.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2_instantaneous_probed_mass_vs_penetration_dep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Effective sample size versus acquisition time at the base penetration depth.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3_effective_sample_size_vs_acquisition_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Refresh fraction versus acquisition time for the 25 mm NIR spot.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4_refresh_fraction_vs_acquisition_ti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Throughput-acquisition heatmap for the effective sample-size proxy.</w:t>
      </w:r>
    </w:p>
    <w:p>
      <w:r>
        <w:drawing>
          <wp:inline xmlns:a="http://schemas.openxmlformats.org/drawingml/2006/main" xmlns:pic="http://schemas.openxmlformats.org/drawingml/2006/picture">
            <wp:extent cx="5715000" cy="39486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5_heatmap_effective_sample_size_throughput_vs_acquisi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Throughput-acquisition heatmap for mass passed the NIR spot footprint.</w:t>
      </w:r>
    </w:p>
    <w:p>
      <w:r>
        <w:drawing>
          <wp:inline xmlns:a="http://schemas.openxmlformats.org/drawingml/2006/main" xmlns:pic="http://schemas.openxmlformats.org/drawingml/2006/picture">
            <wp:extent cx="5715000" cy="39073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6_heatmap_mass_passed_throughput_vs_acquisi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7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Results Interpretation</w:t>
      </w:r>
    </w:p>
    <w:p>
      <w:pPr>
        <w:pStyle w:val="ListBullet"/>
      </w:pPr>
      <w:r>
        <w:t>in the half-filled base case, the modeled fill height remains above the measurement location, so the NIR window is treated as continuously covered</w:t>
      </w:r>
    </w:p>
    <w:p>
      <w:pPr>
        <w:pStyle w:val="ListBullet"/>
      </w:pPr>
      <w:r>
        <w:t>increasing penetration depth raises both instantaneous illuminated mass and the effective-sample-size ceiling</w:t>
      </w:r>
    </w:p>
    <w:p>
      <w:pPr>
        <w:pStyle w:val="ListBullet"/>
      </w:pPr>
      <w:r>
        <w:t>increasing acquisition time raises refresh fraction and effective sample size until transport renewal approaches saturation</w:t>
      </w:r>
    </w:p>
    <w:p>
      <w:pPr>
        <w:pStyle w:val="ListBullet"/>
      </w:pPr>
      <w:r>
        <w:t>throughput controls powder velocity and therefore the operating envelope seen in the 2D heatmap</w:t>
      </w:r>
    </w:p>
    <w:p>
      <w:pPr>
        <w:pStyle w:val="ListBullet"/>
      </w:pPr>
      <w:r>
        <w:t>the 25 mm NIR spot is fixed across all sweeps, so the trends isolate depth, time, and throughput effects rather than changes in spot geometry</w:t>
      </w:r>
    </w:p>
    <w:p>
      <w:pPr>
        <w:pStyle w:val="Heading2"/>
      </w:pPr>
      <w:r>
        <w:t>Practical Implications</w:t>
      </w:r>
    </w:p>
    <w:p>
      <w:pPr>
        <w:pStyle w:val="ListBullet"/>
      </w:pPr>
      <w:r>
        <w:t>penetration depth uncertainty matters directly because it changes the illuminated mass and the resulting effective sampled mass proxy</w:t>
      </w:r>
    </w:p>
    <w:p>
      <w:pPr>
        <w:pStyle w:val="ListBullet"/>
      </w:pPr>
      <w:r>
        <w:t>acquisition time selection still trades off spectral quality against how much unique material is refreshed through the side-window NIR measurement</w:t>
      </w:r>
    </w:p>
    <w:p>
      <w:pPr>
        <w:pStyle w:val="ListBullet"/>
      </w:pPr>
      <w:r>
        <w:t>throughput directly controls powder velocity and therefore refresh rate near the measurement location</w:t>
      </w:r>
    </w:p>
    <w:p>
      <w:pPr>
        <w:pStyle w:val="ListBullet"/>
      </w:pPr>
      <w:r>
        <w:t>maintaining the rig at approximately half full provides a simple coverage condition while the 25 mm spot remains the fixed instrument geometry assumption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half-filled condition is represented by a fixed fill fraction, not by an explicit level-control simulation</w:t>
      </w:r>
    </w:p>
    <w:p>
      <w:pPr>
        <w:pStyle w:val="ListBullet"/>
      </w:pPr>
      <w:r>
        <w:t>the rotating outlet valve is not modeled dynamically</w:t>
      </w:r>
    </w:p>
    <w:p>
      <w:pPr>
        <w:pStyle w:val="ListBullet"/>
      </w:pPr>
      <w:r>
        <w:t>the local velocity near the probe is approximated from throughput and full pipe cross-section</w:t>
      </w:r>
    </w:p>
    <w:p>
      <w:pPr>
        <w:pStyle w:val="ListBullet"/>
      </w:pPr>
      <w:r>
        <w:t>no turbulence, wall-slip, or recirculation model is included</w:t>
      </w:r>
    </w:p>
    <w:p>
      <w:pPr>
        <w:pStyle w:val="ListBullet"/>
      </w:pPr>
      <w:r>
        <w:t>penetration depth is swept as an effective parameter, not derived from a wavelength-dependent optical model</w:t>
      </w:r>
    </w:p>
    <w:p>
      <w:pPr>
        <w:pStyle w:val="ListBullet"/>
      </w:pPr>
      <w:r>
        <w:t>bulk density is assumed uniform and constant</w:t>
      </w:r>
    </w:p>
    <w:p>
      <w:pPr>
        <w:pStyle w:val="ListBullet"/>
      </w:pPr>
      <w:r>
        <w:t>no particle-level sampling statistics or optical weighting correction are included</w:t>
      </w:r>
    </w:p>
    <w:p>
      <w:pPr>
        <w:pStyle w:val="Heading1"/>
      </w:pPr>
      <w:r>
        <w:t>Appendices</w:t>
      </w:r>
    </w:p>
    <w:p>
      <w:pPr>
        <w:pStyle w:val="Heading2"/>
      </w:pPr>
      <w:r>
        <w:t>Next Logical Extensions</w:t>
      </w:r>
    </w:p>
    <w:p>
      <w:pPr>
        <w:pStyle w:val="ListBullet"/>
      </w:pPr>
      <w:r>
        <w:t>dynamic level-control and rotating-valve discharge model</w:t>
      </w:r>
    </w:p>
    <w:p>
      <w:pPr>
        <w:pStyle w:val="ListBullet"/>
      </w:pPr>
      <w:r>
        <w:t>explicit dependence of local velocity on valve operation and bed holdup</w:t>
      </w:r>
    </w:p>
    <w:p>
      <w:pPr>
        <w:pStyle w:val="ListBullet"/>
      </w:pPr>
      <w:r>
        <w:t>sensitivity analysis for probe height and maintained fill fraction</w:t>
      </w:r>
    </w:p>
    <w:p>
      <w:pPr>
        <w:pStyle w:val="ListBullet"/>
      </w:pPr>
      <w:r>
        <w:t>uncertainty bands for measurement depth and bulk density</w:t>
      </w:r>
    </w:p>
    <w:p>
      <w:pPr>
        <w:pStyle w:val="ListBullet"/>
      </w:pPr>
      <w:r>
        <w:t>non-uniform optical weighting functions for the 25 mm NIR spot</w:t>
      </w:r>
    </w:p>
    <w:p>
      <w:pPr>
        <w:pStyle w:val="Heading1"/>
      </w:pPr>
      <w:r>
        <w:t>Exported artifacts</w:t>
      </w:r>
    </w:p>
    <w:p>
      <w:r>
        <w:t>CSV files</w:t>
      </w:r>
    </w:p>
    <w:p>
      <w:pPr>
        <w:pStyle w:val="ListBullet"/>
      </w:pPr>
      <w:r>
        <w:t>results_full.csv</w:t>
      </w:r>
    </w:p>
    <w:p>
      <w:pPr>
        <w:pStyle w:val="ListBullet"/>
      </w:pPr>
      <w:r>
        <w:t>summary_table.csv</w:t>
      </w:r>
    </w:p>
    <w:p>
      <w:pPr>
        <w:pStyle w:val="ListBullet"/>
      </w:pPr>
      <w:r>
        <w:t>penetration_depth_table.csv</w:t>
      </w:r>
    </w:p>
    <w:p>
      <w:pPr>
        <w:pStyle w:val="ListBullet"/>
      </w:pPr>
      <w:r>
        <w:t>input_summary.csv</w:t>
      </w:r>
    </w:p>
    <w:p>
      <w:r>
        <w:t>Figure files</w:t>
      </w:r>
    </w:p>
    <w:p>
      <w:pPr>
        <w:pStyle w:val="ListBullet"/>
      </w:pPr>
      <w:r>
        <w:t>plot_01_effective_sample_size_vs_penetration_depth.png</w:t>
      </w:r>
    </w:p>
    <w:p>
      <w:pPr>
        <w:pStyle w:val="ListBullet"/>
      </w:pPr>
      <w:r>
        <w:t>plot_02_instantaneous_probed_mass_vs_penetration_depth.png</w:t>
      </w:r>
    </w:p>
    <w:p>
      <w:pPr>
        <w:pStyle w:val="ListBullet"/>
      </w:pPr>
      <w:r>
        <w:t>plot_03_effective_sample_size_vs_acquisition_time.png</w:t>
      </w:r>
    </w:p>
    <w:p>
      <w:pPr>
        <w:pStyle w:val="ListBullet"/>
      </w:pPr>
      <w:r>
        <w:t>plot_04_refresh_fraction_vs_acquisition_time.png</w:t>
      </w:r>
    </w:p>
    <w:p>
      <w:pPr>
        <w:pStyle w:val="ListBullet"/>
      </w:pPr>
      <w:r>
        <w:t>plot_05_heatmap_effective_sample_size_throughput_vs_acquisition.png</w:t>
      </w:r>
    </w:p>
    <w:p>
      <w:pPr>
        <w:pStyle w:val="ListBullet"/>
      </w:pPr>
      <w:r>
        <w:t>plot_06_heatmap_mass_passed_throughput_vs_acquisition.png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