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E PAT Rig Effective Sample Size Report</w:t>
      </w:r>
    </w:p>
    <w:p>
      <w:r>
        <w:t>Setup: setup_e</w:t>
      </w:r>
    </w:p>
    <w:p>
      <w:r>
        <w:t>Report timestamp: 20260421_092645</w:t>
      </w:r>
    </w:p>
    <w:p>
      <w:r>
        <w:t>Source notebook: setup_E_PATrig_effective_sample_size.ipynb</w:t>
      </w:r>
    </w:p>
    <w:p>
      <w:pPr>
        <w:pStyle w:val="Heading1"/>
      </w:pPr>
      <w:r>
        <w:t>Executive summary</w:t>
      </w:r>
    </w:p>
    <w:p>
      <w:r>
        <w:t>Setup E treats the PAT rig as a covered-probe vertical sampling interface in which powder continuously moves past a side-window non-contact NIR measurement location. The study separates three sensitivities: penetration depth, acquisition time, and throughput-acquisition operating conditions, while keeping the 25 mm spot geometry fixed so that illuminated mass, refreshed new mass, and transported mass can be compared mechanistically.</w:t>
      </w:r>
    </w:p>
    <w:p>
      <w:pPr>
        <w:pStyle w:val="Heading1"/>
      </w:pPr>
      <w:r>
        <w:t>Key parameters</w:t>
      </w:r>
    </w:p>
    <w:p>
      <w:pPr>
        <w:pStyle w:val="ListBullet"/>
      </w:pPr>
      <w:r>
        <w:t>Pipe diameter (cm): 10</w:t>
      </w:r>
    </w:p>
    <w:p>
      <w:pPr>
        <w:pStyle w:val="ListBullet"/>
      </w:pPr>
      <w:r>
        <w:t>NIR spot diameter (cm): 2.5</w:t>
      </w:r>
    </w:p>
    <w:p>
      <w:pPr>
        <w:pStyle w:val="ListBullet"/>
      </w:pPr>
      <w:r>
        <w:t>Base measurement depth (cm): 0.1</w:t>
      </w:r>
    </w:p>
    <w:p>
      <w:pPr>
        <w:pStyle w:val="ListBullet"/>
      </w:pPr>
      <w:r>
        <w:t>Measurement depth sweep (mm): 0.1 to 2.0</w:t>
      </w:r>
    </w:p>
    <w:p>
      <w:pPr>
        <w:pStyle w:val="ListBullet"/>
      </w:pPr>
      <w:r>
        <w:t>Bulk density (g/cm^3): 0.3</w:t>
      </w:r>
    </w:p>
    <w:p>
      <w:pPr>
        <w:pStyle w:val="ListBullet"/>
      </w:pPr>
      <w:r>
        <w:t>Base throughput (kg/h): 95</w:t>
      </w:r>
    </w:p>
    <w:p>
      <w:pPr>
        <w:pStyle w:val="ListBullet"/>
      </w:pPr>
      <w:r>
        <w:t>Acquisition time sweep (s): 1.0 to 5.0</w:t>
      </w:r>
    </w:p>
    <w:p>
      <w:pPr>
        <w:pStyle w:val="ListBullet"/>
      </w:pPr>
      <w:r>
        <w:t>Throughput sweep (kg/h): 10 to 100</w:t>
      </w:r>
    </w:p>
    <w:p>
      <w:pPr>
        <w:pStyle w:val="ListBullet"/>
      </w:pPr>
      <w:r>
        <w:t>Axial length model: spot_diameter</w:t>
      </w:r>
    </w:p>
    <w:p>
      <w:pPr>
        <w:pStyle w:val="Heading2"/>
      </w:pPr>
      <w:r>
        <w:t>Background</w:t>
      </w:r>
    </w:p>
    <w:p>
      <w:r>
        <w:t>Setup E models a PAT (Process Analytical Technology) rig as a vertical cylindrical sampling interface fed continuously from an upstream manufacturing unit. A rotating outlet valve at the bottom controls discharge, while level sensors along the wall maintain the rig at approximately half full during operation.</w:t>
      </w:r>
    </w:p>
    <w:p>
      <w:r>
        <w:t>The primary NIR instrument views the powder through a side optical window positioned near the lower part of the rig. In the base case used here, the measurement location is placed one-quarter of the rig height above the bottom outlet and the non-contact NIR spot diameter is 25 mm.</w:t>
      </w:r>
    </w:p>
    <w:p>
      <w:r>
        <w:t>Three distinct mass metrics are relevant:</w:t>
      </w:r>
    </w:p>
    <w:p>
      <w:pPr>
        <w:pStyle w:val="ListNumber"/>
      </w:pPr>
      <w:r>
        <w:t>Instantaneous probed mass (m_inst): mass simultaneously illuminated at any single instant.</w:t>
      </w:r>
    </w:p>
    <w:p>
      <w:pPr>
        <w:pStyle w:val="ListNumber"/>
      </w:pPr>
      <w:r>
        <w:t>New mass presented per acquisition (m_new): unique material refreshed across the NIR spot during one acquisition time, bounded by the instantaneous mass.</w:t>
      </w:r>
    </w:p>
    <w:p>
      <w:pPr>
        <w:pStyle w:val="ListNumber"/>
      </w:pPr>
      <w:r>
        <w:t>Mass passed probe footprint (m_pass): total mass that crosses the probe footprint during acquisition and is not bounded by the instantaneous mass.</w:t>
      </w:r>
    </w:p>
    <w:p>
      <w:r>
        <w:t>This notebook treats the occupied lower section of the PAT rig as a first-order dense moving powder column. It uses the maintained fill level to determine whether the probe is covered by powder and then uses throughput-driven axial motion to estimate renewal at the probe position.</w:t>
      </w:r>
    </w:p>
    <w:p>
      <w:pPr>
        <w:pStyle w:val="Heading2"/>
      </w:pPr>
      <w:r>
        <w:t>Objective</w:t>
      </w:r>
    </w:p>
    <w:p>
      <w:r>
        <w:t>Compute instantaneous probed mass, new mass presented per acquisition, and mass passed the NIR spot footprint for a level-controlled PAT rig configuration. Use a half-filled base case with the measurement window located one-quarter of the rig height from the bottom, sweep acquisition time and throughput, and export results using the standard reporting workflow.</w:t>
      </w:r>
    </w:p>
    <w:p>
      <w:pPr>
        <w:pStyle w:val="Heading2"/>
      </w:pPr>
      <w:r>
        <w:t>Theory</w:t>
      </w:r>
    </w:p>
    <w:p>
      <w:pPr>
        <w:pStyle w:val="Heading3"/>
      </w:pPr>
      <w:r>
        <w:t>Covered-probe PAT rig geometry</w:t>
      </w:r>
    </w:p>
    <w:p>
      <w:r>
        <w:t>The PAT rig is represented as a vertical cylindrical flow region observed through a side optical window. The operating assumption in this notebook is that the process is controlled so the probe window is always buried in powder during normal operation. Probe coverage is therefore treated as guaranteed rather than modeled as a variable.</w:t>
      </w:r>
    </w:p>
    <w:p>
      <w:pPr>
        <w:pStyle w:val="Heading3"/>
      </w:pPr>
      <w:r>
        <w:t>Throughput-driven axial velocity</w:t>
      </w:r>
    </w:p>
    <w:p>
      <w:r>
        <w:t>Powder motion near the covered probe is approximated as a first-order dense moving column. The axial velocity is estimated from throughput and the full cylindrical cross-section:</w:t>
      </w:r>
    </w:p>
    <w:p>
      <w:r>
        <w:drawing>
          <wp:inline xmlns:a="http://schemas.openxmlformats.org/drawingml/2006/main" xmlns:pic="http://schemas.openxmlformats.org/drawingml/2006/picture">
            <wp:extent cx="5257800" cy="1981786"/>
            <wp:docPr id="1" name="Picture 1"/>
            <wp:cNvGraphicFramePr>
              <a:graphicFrameLocks noChangeAspect="1"/>
            </wp:cNvGraphicFramePr>
            <a:graphic>
              <a:graphicData uri="http://schemas.openxmlformats.org/drawingml/2006/picture">
                <pic:pic>
                  <pic:nvPicPr>
                    <pic:cNvPr id="0" name="equation_1000.png"/>
                    <pic:cNvPicPr/>
                  </pic:nvPicPr>
                  <pic:blipFill>
                    <a:blip r:embed="rId9"/>
                    <a:stretch>
                      <a:fillRect/>
                    </a:stretch>
                  </pic:blipFill>
                  <pic:spPr>
                    <a:xfrm>
                      <a:off x="0" y="0"/>
                      <a:ext cx="5257800" cy="1981786"/>
                    </a:xfrm>
                    <a:prstGeom prst="rect"/>
                  </pic:spPr>
                </pic:pic>
              </a:graphicData>
            </a:graphic>
          </wp:inline>
        </w:drawing>
      </w:r>
    </w:p>
    <w:p>
      <w:r>
        <w:t>where</w:t>
      </w:r>
    </w:p>
    <w:p>
      <w:r>
        <w:drawing>
          <wp:inline xmlns:a="http://schemas.openxmlformats.org/drawingml/2006/main" xmlns:pic="http://schemas.openxmlformats.org/drawingml/2006/picture">
            <wp:extent cx="5257800" cy="1429305"/>
            <wp:docPr id="2" name="Picture 2"/>
            <wp:cNvGraphicFramePr>
              <a:graphicFrameLocks noChangeAspect="1"/>
            </wp:cNvGraphicFramePr>
            <a:graphic>
              <a:graphicData uri="http://schemas.openxmlformats.org/drawingml/2006/picture">
                <pic:pic>
                  <pic:nvPicPr>
                    <pic:cNvPr id="0" name="equation_1001.png"/>
                    <pic:cNvPicPr/>
                  </pic:nvPicPr>
                  <pic:blipFill>
                    <a:blip r:embed="rId10"/>
                    <a:stretch>
                      <a:fillRect/>
                    </a:stretch>
                  </pic:blipFill>
                  <pic:spPr>
                    <a:xfrm>
                      <a:off x="0" y="0"/>
                      <a:ext cx="5257800" cy="1429305"/>
                    </a:xfrm>
                    <a:prstGeom prst="rect"/>
                  </pic:spPr>
                </pic:pic>
              </a:graphicData>
            </a:graphic>
          </wp:inline>
        </w:drawing>
      </w:r>
    </w:p>
    <w:p>
      <w:r>
        <w:t>This remains a simplifying assumption: it ignores detailed wall slip, outlet-valve kinematics, and any nonuniform velocity profile near the probe.</w:t>
      </w:r>
    </w:p>
    <w:p>
      <w:pPr>
        <w:pStyle w:val="Heading3"/>
      </w:pPr>
      <w:r>
        <w:t>Instantaneous probed mass</w:t>
      </w:r>
    </w:p>
    <w:p>
      <w:r>
        <w:t>The non-contact NIR spot is represented as a circular optical footprint with area:</w:t>
      </w:r>
    </w:p>
    <w:p>
      <w:r>
        <w:drawing>
          <wp:inline xmlns:a="http://schemas.openxmlformats.org/drawingml/2006/main" xmlns:pic="http://schemas.openxmlformats.org/drawingml/2006/picture">
            <wp:extent cx="5257800" cy="1429305"/>
            <wp:docPr id="3" name="Picture 3"/>
            <wp:cNvGraphicFramePr>
              <a:graphicFrameLocks noChangeAspect="1"/>
            </wp:cNvGraphicFramePr>
            <a:graphic>
              <a:graphicData uri="http://schemas.openxmlformats.org/drawingml/2006/picture">
                <pic:pic>
                  <pic:nvPicPr>
                    <pic:cNvPr id="0" name="equation_1002.png"/>
                    <pic:cNvPicPr/>
                  </pic:nvPicPr>
                  <pic:blipFill>
                    <a:blip r:embed="rId11"/>
                    <a:stretch>
                      <a:fillRect/>
                    </a:stretch>
                  </pic:blipFill>
                  <pic:spPr>
                    <a:xfrm>
                      <a:off x="0" y="0"/>
                      <a:ext cx="5257800" cy="1429305"/>
                    </a:xfrm>
                    <a:prstGeom prst="rect"/>
                  </pic:spPr>
                </pic:pic>
              </a:graphicData>
            </a:graphic>
          </wp:inline>
        </w:drawing>
      </w:r>
    </w:p>
    <w:p>
      <w:r>
        <w:t>The instantaneous probed mass is:</w:t>
      </w:r>
    </w:p>
    <w:p>
      <w:r>
        <w:drawing>
          <wp:inline xmlns:a="http://schemas.openxmlformats.org/drawingml/2006/main" xmlns:pic="http://schemas.openxmlformats.org/drawingml/2006/picture">
            <wp:extent cx="5257800" cy="723116"/>
            <wp:docPr id="4" name="Picture 4"/>
            <wp:cNvGraphicFramePr>
              <a:graphicFrameLocks noChangeAspect="1"/>
            </wp:cNvGraphicFramePr>
            <a:graphic>
              <a:graphicData uri="http://schemas.openxmlformats.org/drawingml/2006/picture">
                <pic:pic>
                  <pic:nvPicPr>
                    <pic:cNvPr id="0" name="equation_1003.png"/>
                    <pic:cNvPicPr/>
                  </pic:nvPicPr>
                  <pic:blipFill>
                    <a:blip r:embed="rId12"/>
                    <a:stretch>
                      <a:fillRect/>
                    </a:stretch>
                  </pic:blipFill>
                  <pic:spPr>
                    <a:xfrm>
                      <a:off x="0" y="0"/>
                      <a:ext cx="5257800" cy="723116"/>
                    </a:xfrm>
                    <a:prstGeom prst="rect"/>
                  </pic:spPr>
                </pic:pic>
              </a:graphicData>
            </a:graphic>
          </wp:inline>
        </w:drawing>
      </w:r>
    </w:p>
    <w:p>
      <w:pPr>
        <w:pStyle w:val="Heading3"/>
      </w:pPr>
      <w:r>
        <w:t>Axial advance and refresh fraction</w:t>
      </w:r>
    </w:p>
    <w:p>
      <w:r>
        <w:t>Axial advance during one acquisition is:</w:t>
      </w:r>
    </w:p>
    <w:p>
      <w:r>
        <w:drawing>
          <wp:inline xmlns:a="http://schemas.openxmlformats.org/drawingml/2006/main" xmlns:pic="http://schemas.openxmlformats.org/drawingml/2006/picture">
            <wp:extent cx="5257800" cy="1369898"/>
            <wp:docPr id="5" name="Picture 5"/>
            <wp:cNvGraphicFramePr>
              <a:graphicFrameLocks noChangeAspect="1"/>
            </wp:cNvGraphicFramePr>
            <a:graphic>
              <a:graphicData uri="http://schemas.openxmlformats.org/drawingml/2006/picture">
                <pic:pic>
                  <pic:nvPicPr>
                    <pic:cNvPr id="0" name="equation_1004.png"/>
                    <pic:cNvPicPr/>
                  </pic:nvPicPr>
                  <pic:blipFill>
                    <a:blip r:embed="rId13"/>
                    <a:stretch>
                      <a:fillRect/>
                    </a:stretch>
                  </pic:blipFill>
                  <pic:spPr>
                    <a:xfrm>
                      <a:off x="0" y="0"/>
                      <a:ext cx="5257800" cy="1369898"/>
                    </a:xfrm>
                    <a:prstGeom prst="rect"/>
                  </pic:spPr>
                </pic:pic>
              </a:graphicData>
            </a:graphic>
          </wp:inline>
        </w:drawing>
      </w:r>
    </w:p>
    <w:p>
      <w:r>
        <w:t>The axial sampling length is represented by a proxy length L_axial. In the base case this is taken as the NIR spot diameter. The refresh fraction is then:</w:t>
      </w:r>
    </w:p>
    <w:p>
      <w:r>
        <w:drawing>
          <wp:inline xmlns:a="http://schemas.openxmlformats.org/drawingml/2006/main" xmlns:pic="http://schemas.openxmlformats.org/drawingml/2006/picture">
            <wp:extent cx="5257800" cy="1014664"/>
            <wp:docPr id="6" name="Picture 6"/>
            <wp:cNvGraphicFramePr>
              <a:graphicFrameLocks noChangeAspect="1"/>
            </wp:cNvGraphicFramePr>
            <a:graphic>
              <a:graphicData uri="http://schemas.openxmlformats.org/drawingml/2006/picture">
                <pic:pic>
                  <pic:nvPicPr>
                    <pic:cNvPr id="0" name="equation_1005.png"/>
                    <pic:cNvPicPr/>
                  </pic:nvPicPr>
                  <pic:blipFill>
                    <a:blip r:embed="rId14"/>
                    <a:stretch>
                      <a:fillRect/>
                    </a:stretch>
                  </pic:blipFill>
                  <pic:spPr>
                    <a:xfrm>
                      <a:off x="0" y="0"/>
                      <a:ext cx="5257800" cy="1014664"/>
                    </a:xfrm>
                    <a:prstGeom prst="rect"/>
                  </pic:spPr>
                </pic:pic>
              </a:graphicData>
            </a:graphic>
          </wp:inline>
        </w:drawing>
      </w:r>
    </w:p>
    <w:p>
      <w:pPr>
        <w:pStyle w:val="Heading3"/>
      </w:pPr>
      <w:r>
        <w:t>New mass and mass passed</w:t>
      </w:r>
    </w:p>
    <w:p>
      <w:r>
        <w:t>New mass presented per acquisition is:</w:t>
      </w:r>
    </w:p>
    <w:p>
      <w:r>
        <w:drawing>
          <wp:inline xmlns:a="http://schemas.openxmlformats.org/drawingml/2006/main" xmlns:pic="http://schemas.openxmlformats.org/drawingml/2006/picture">
            <wp:extent cx="5257800" cy="765776"/>
            <wp:docPr id="7" name="Picture 7"/>
            <wp:cNvGraphicFramePr>
              <a:graphicFrameLocks noChangeAspect="1"/>
            </wp:cNvGraphicFramePr>
            <a:graphic>
              <a:graphicData uri="http://schemas.openxmlformats.org/drawingml/2006/picture">
                <pic:pic>
                  <pic:nvPicPr>
                    <pic:cNvPr id="0" name="equation_1006.png"/>
                    <pic:cNvPicPr/>
                  </pic:nvPicPr>
                  <pic:blipFill>
                    <a:blip r:embed="rId15"/>
                    <a:stretch>
                      <a:fillRect/>
                    </a:stretch>
                  </pic:blipFill>
                  <pic:spPr>
                    <a:xfrm>
                      <a:off x="0" y="0"/>
                      <a:ext cx="5257800" cy="765776"/>
                    </a:xfrm>
                    <a:prstGeom prst="rect"/>
                  </pic:spPr>
                </pic:pic>
              </a:graphicData>
            </a:graphic>
          </wp:inline>
        </w:drawing>
      </w:r>
    </w:p>
    <w:p>
      <w:r>
        <w:t>Mass passed the probe footprint during acquisition is:</w:t>
      </w:r>
    </w:p>
    <w:p>
      <w:r>
        <w:drawing>
          <wp:inline xmlns:a="http://schemas.openxmlformats.org/drawingml/2006/main" xmlns:pic="http://schemas.openxmlformats.org/drawingml/2006/picture">
            <wp:extent cx="5257800" cy="625929"/>
            <wp:docPr id="8" name="Picture 8"/>
            <wp:cNvGraphicFramePr>
              <a:graphicFrameLocks noChangeAspect="1"/>
            </wp:cNvGraphicFramePr>
            <a:graphic>
              <a:graphicData uri="http://schemas.openxmlformats.org/drawingml/2006/picture">
                <pic:pic>
                  <pic:nvPicPr>
                    <pic:cNvPr id="0" name="equation_1007.png"/>
                    <pic:cNvPicPr/>
                  </pic:nvPicPr>
                  <pic:blipFill>
                    <a:blip r:embed="rId16"/>
                    <a:stretch>
                      <a:fillRect/>
                    </a:stretch>
                  </pic:blipFill>
                  <pic:spPr>
                    <a:xfrm>
                      <a:off x="0" y="0"/>
                      <a:ext cx="5257800" cy="625929"/>
                    </a:xfrm>
                    <a:prstGeom prst="rect"/>
                  </pic:spPr>
                </pic:pic>
              </a:graphicData>
            </a:graphic>
          </wp:inline>
        </w:drawing>
      </w:r>
    </w:p>
    <w:p>
      <w:r>
        <w:t>Symbols and units:</w:t>
      </w:r>
    </w:p>
    <w:p>
      <w:pPr>
        <w:pStyle w:val="ListBullet"/>
      </w:pPr>
      <w:r>
        <w:t>dotm: mass flow rate [g/s]</w:t>
      </w:r>
    </w:p>
    <w:p>
      <w:pPr>
        <w:pStyle w:val="ListBullet"/>
      </w:pPr>
      <w:r>
        <w:t>rho_bulk: bulk density [g/cm^3]</w:t>
      </w:r>
    </w:p>
    <w:p>
      <w:pPr>
        <w:pStyle w:val="ListBullet"/>
      </w:pPr>
      <w:r>
        <w:t>A_pipe: pipe cross-section area [cm^2]</w:t>
      </w:r>
    </w:p>
    <w:p>
      <w:pPr>
        <w:pStyle w:val="ListBullet"/>
      </w:pPr>
      <w:r>
        <w:t>A_spot: NIR spot area [cm^2]</w:t>
      </w:r>
    </w:p>
    <w:p>
      <w:pPr>
        <w:pStyle w:val="ListBullet"/>
      </w:pPr>
      <w:r>
        <w:t>D_spot: NIR spot diameter [cm]</w:t>
      </w:r>
    </w:p>
    <w:p>
      <w:pPr>
        <w:pStyle w:val="ListBullet"/>
      </w:pPr>
      <w:r>
        <w:t>d_pen: measurement (penetration) depth [cm]</w:t>
      </w:r>
    </w:p>
    <w:p>
      <w:pPr>
        <w:pStyle w:val="ListBullet"/>
      </w:pPr>
      <w:r>
        <w:t>T_acq: spectral acquisition time [s]</w:t>
      </w:r>
    </w:p>
    <w:p>
      <w:pPr>
        <w:pStyle w:val="ListBullet"/>
      </w:pPr>
      <w:r>
        <w:t>L_axial: axial sampling length proxy [cm]</w:t>
      </w:r>
    </w:p>
    <w:p>
      <w:pPr>
        <w:pStyle w:val="Heading2"/>
      </w:pPr>
      <w:r>
        <w:t>Assumptions</w:t>
      </w:r>
    </w:p>
    <w:p>
      <w:pPr>
        <w:pStyle w:val="ListBullet"/>
      </w:pPr>
      <w:r>
        <w:t>vertical cylindrical PAT rig with top feed and bottom discharge through a rotating outlet valve</w:t>
      </w:r>
    </w:p>
    <w:p>
      <w:pPr>
        <w:pStyle w:val="ListBullet"/>
      </w:pPr>
      <w:r>
        <w:t>the operating window is controlled so the probe window remains continuously covered during normal operation</w:t>
      </w:r>
    </w:p>
    <w:p>
      <w:pPr>
        <w:pStyle w:val="ListBullet"/>
      </w:pPr>
      <w:r>
        <w:t>no explicit level-control dynamics are modeled because probe coverage is treated as guaranteed by design</w:t>
      </w:r>
    </w:p>
    <w:p>
      <w:pPr>
        <w:pStyle w:val="ListBullet"/>
      </w:pPr>
      <w:r>
        <w:t>the powder near the probe is treated as a dense moving column</w:t>
      </w:r>
    </w:p>
    <w:p>
      <w:pPr>
        <w:pStyle w:val="ListBullet"/>
      </w:pPr>
      <w:r>
        <w:t>powder velocity at the probe is approximated from throughput and full pipe cross-section</w:t>
      </w:r>
    </w:p>
    <w:p>
      <w:pPr>
        <w:pStyle w:val="ListBullet"/>
      </w:pPr>
      <w:r>
        <w:t>the NIR spot is circular and viewed through a side optical window</w:t>
      </w:r>
    </w:p>
    <w:p>
      <w:pPr>
        <w:pStyle w:val="ListBullet"/>
      </w:pPr>
      <w:r>
        <w:t>measurement depth is small relative to pipe diameter</w:t>
      </w:r>
    </w:p>
    <w:p>
      <w:pPr>
        <w:pStyle w:val="ListBullet"/>
      </w:pPr>
      <w:r>
        <w:t>axial sampling length is approximated by the NIR spot diameter unless overridden</w:t>
      </w:r>
    </w:p>
    <w:p>
      <w:pPr>
        <w:pStyle w:val="ListBullet"/>
      </w:pPr>
      <w:r>
        <w:t>no explicit outlet-valve kinematics, turbulence, segregation, or wall-slip correction</w:t>
      </w:r>
    </w:p>
    <w:p>
      <w:pPr>
        <w:pStyle w:val="ListBullet"/>
      </w:pPr>
      <w:r>
        <w:t>no detailed radiative transfer model yet</w:t>
      </w:r>
    </w:p>
    <w:p>
      <w:pPr>
        <w:pStyle w:val="Heading2"/>
      </w:pPr>
      <w:r>
        <w:t>Compute Effective Sample Size Metrics</w:t>
      </w:r>
    </w:p>
    <w:p>
      <w:r>
        <w:t>Run a 1D penetration-depth sweep, a 1D acquisition-time sweep, and a 2D throughput x acquisition-time sweep while keeping the covered-probe geometry and 25 mm NIR spot fixed.</w:t>
      </w:r>
    </w:p>
    <w:p>
      <w:pPr>
        <w:pStyle w:val="Heading1"/>
      </w:pPr>
      <w:r>
        <w:t>Worked example</w:t>
      </w:r>
    </w:p>
    <w:p>
      <w:r>
        <w:t>The baseline case below reports the base-case penetration depth, the instantaneous mass at the probe, the refreshed new mass during one acquisition, the total mass passed the NIR spot footprint, and the resulting refresh fraction.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Quantity</w:t>
            </w:r>
          </w:p>
        </w:tc>
        <w:tc>
          <w:tcPr>
            <w:tcW w:type="dxa" w:w="4320"/>
          </w:tcPr>
          <w:p>
            <w:r>
              <w:rPr>
                <w:b/>
                <w:sz w:val="18"/>
              </w:rPr>
              <w:t>Value</w:t>
            </w:r>
          </w:p>
        </w:tc>
      </w:tr>
      <w:tr>
        <w:tc>
          <w:tcPr>
            <w:tcW w:type="dxa" w:w="4320"/>
          </w:tcPr>
          <w:p>
            <w:r>
              <w:rPr>
                <w:sz w:val="18"/>
              </w:rPr>
              <w:t>measurementdepthcm</w:t>
            </w:r>
          </w:p>
        </w:tc>
        <w:tc>
          <w:tcPr>
            <w:tcW w:type="dxa" w:w="4320"/>
          </w:tcPr>
          <w:p>
            <w:r>
              <w:rPr>
                <w:sz w:val="18"/>
              </w:rPr>
              <w:t>0.1</w:t>
            </w:r>
          </w:p>
        </w:tc>
      </w:tr>
      <w:tr>
        <w:tc>
          <w:tcPr>
            <w:tcW w:type="dxa" w:w="4320"/>
          </w:tcPr>
          <w:p>
            <w:r>
              <w:rPr>
                <w:sz w:val="18"/>
              </w:rPr>
              <w:t>velocitymms</w:t>
            </w:r>
          </w:p>
        </w:tc>
        <w:tc>
          <w:tcPr>
            <w:tcW w:type="dxa" w:w="4320"/>
          </w:tcPr>
          <w:p>
            <w:r>
              <w:rPr>
                <w:sz w:val="18"/>
              </w:rPr>
              <w:t>11.1998</w:t>
            </w:r>
          </w:p>
        </w:tc>
      </w:tr>
      <w:tr>
        <w:tc>
          <w:tcPr>
            <w:tcW w:type="dxa" w:w="4320"/>
          </w:tcPr>
          <w:p>
            <w:r>
              <w:rPr>
                <w:sz w:val="18"/>
              </w:rPr>
              <w:t>acquisitiontimes</w:t>
            </w:r>
          </w:p>
        </w:tc>
        <w:tc>
          <w:tcPr>
            <w:tcW w:type="dxa" w:w="4320"/>
          </w:tcPr>
          <w:p>
            <w:r>
              <w:rPr>
                <w:sz w:val="18"/>
              </w:rPr>
              <w:t>1</w:t>
            </w:r>
          </w:p>
        </w:tc>
      </w:tr>
      <w:tr>
        <w:tc>
          <w:tcPr>
            <w:tcW w:type="dxa" w:w="4320"/>
          </w:tcPr>
          <w:p>
            <w:r>
              <w:rPr>
                <w:sz w:val="18"/>
              </w:rPr>
              <w:t>refreshfractionper_acq</w:t>
            </w:r>
          </w:p>
        </w:tc>
        <w:tc>
          <w:tcPr>
            <w:tcW w:type="dxa" w:w="4320"/>
          </w:tcPr>
          <w:p>
            <w:r>
              <w:rPr>
                <w:sz w:val="18"/>
              </w:rPr>
              <w:t>0.447992</w:t>
            </w:r>
          </w:p>
        </w:tc>
      </w:tr>
      <w:tr>
        <w:tc>
          <w:tcPr>
            <w:tcW w:type="dxa" w:w="4320"/>
          </w:tcPr>
          <w:p>
            <w:r>
              <w:rPr>
                <w:sz w:val="18"/>
              </w:rPr>
              <w:t>probemassmg_instant</w:t>
            </w:r>
          </w:p>
        </w:tc>
        <w:tc>
          <w:tcPr>
            <w:tcW w:type="dxa" w:w="4320"/>
          </w:tcPr>
          <w:p>
            <w:r>
              <w:rPr>
                <w:sz w:val="18"/>
              </w:rPr>
              <w:t>147.262</w:t>
            </w:r>
          </w:p>
        </w:tc>
      </w:tr>
      <w:tr>
        <w:tc>
          <w:tcPr>
            <w:tcW w:type="dxa" w:w="4320"/>
          </w:tcPr>
          <w:p>
            <w:r>
              <w:rPr>
                <w:sz w:val="18"/>
              </w:rPr>
              <w:t>newmassmgperacq</w:t>
            </w:r>
          </w:p>
        </w:tc>
        <w:tc>
          <w:tcPr>
            <w:tcW w:type="dxa" w:w="4320"/>
          </w:tcPr>
          <w:p>
            <w:r>
              <w:rPr>
                <w:sz w:val="18"/>
              </w:rPr>
              <w:t>65.9722</w:t>
            </w:r>
          </w:p>
        </w:tc>
      </w:tr>
      <w:tr>
        <w:tc>
          <w:tcPr>
            <w:tcW w:type="dxa" w:w="4320"/>
          </w:tcPr>
          <w:p>
            <w:r>
              <w:rPr>
                <w:sz w:val="18"/>
              </w:rPr>
              <w:t>masspassedmgperacq</w:t>
            </w:r>
          </w:p>
        </w:tc>
        <w:tc>
          <w:tcPr>
            <w:tcW w:type="dxa" w:w="4320"/>
          </w:tcPr>
          <w:p>
            <w:r>
              <w:rPr>
                <w:sz w:val="18"/>
              </w:rPr>
              <w:t>1649.31</w:t>
            </w:r>
          </w:p>
        </w:tc>
      </w:tr>
      <w:tr>
        <w:tc>
          <w:tcPr>
            <w:tcW w:type="dxa" w:w="4320"/>
          </w:tcPr>
          <w:p>
            <w:r>
              <w:rPr>
                <w:sz w:val="18"/>
              </w:rPr>
              <w:t>effectivesamplesize_mg</w:t>
            </w:r>
          </w:p>
        </w:tc>
        <w:tc>
          <w:tcPr>
            <w:tcW w:type="dxa" w:w="4320"/>
          </w:tcPr>
          <w:p>
            <w:r>
              <w:rPr>
                <w:sz w:val="18"/>
              </w:rPr>
              <w:t>65.9722</w:t>
            </w:r>
          </w:p>
        </w:tc>
      </w:tr>
    </w:tbl>
    <w:p/>
    <w:p>
      <w:pPr>
        <w:pStyle w:val="Heading1"/>
      </w:pPr>
      <w:r>
        <w:t>Model scenarios and sweep design</w:t>
      </w:r>
    </w:p>
    <w:p>
      <w:r>
        <w:t>The Setup E analysis combines a one-dimensional penetration-depth sweep, a one-dimensional acquisition-time sweep, and a two-dimensional throughput-by-acquisition-time sweep. This separates optical-depth sensitivity from renewal-time sensitivity while holding the covered-probe geometry and 25 mm spot size fixed.</w:t>
      </w:r>
    </w:p>
    <w:p>
      <w:pPr>
        <w:pStyle w:val="ListBullet"/>
      </w:pPr>
      <w:r>
        <w:t>penetration depth swept from 0.1 to 2.0 mm in 0.1 mm steps</w:t>
      </w:r>
    </w:p>
    <w:p>
      <w:pPr>
        <w:pStyle w:val="ListBullet"/>
      </w:pPr>
      <w:r>
        <w:t>acquisition time swept from 1.0 to 5.0 s</w:t>
      </w:r>
    </w:p>
    <w:p>
      <w:pPr>
        <w:pStyle w:val="ListBullet"/>
      </w:pPr>
      <w:r>
        <w:t>throughput swept from 10 to 100 kg/h</w:t>
      </w:r>
    </w:p>
    <w:p>
      <w:pPr>
        <w:pStyle w:val="ListBullet"/>
      </w:pPr>
      <w:r>
        <w:t>NIR spot diameter fixed at 2.5 cm</w:t>
      </w:r>
    </w:p>
    <w:p>
      <w:pPr>
        <w:pStyle w:val="ListBullet"/>
      </w:pPr>
      <w:r>
        <w:t>axial sampling length model: spot_diameter</w:t>
      </w:r>
    </w:p>
    <w:p>
      <w:r>
        <w:t>This produces 440 modeled rows across the 1D and 2D sweeps.</w:t>
      </w:r>
    </w:p>
    <w:p>
      <w:pPr>
        <w:pStyle w:val="Heading1"/>
      </w:pPr>
      <w:r>
        <w:t>Selected results table</w:t>
      </w:r>
    </w:p>
    <w:p>
      <w:r>
        <w:t>The selected table below samples representative acquisition times from the revised 1-5 s sweep so the reader can compare base penetration depth, instantaneous illuminated mass, refreshed new mass, passed mass, refresh fraction, and the resulting effective sample-size proxy side by side.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acquisitiontimes</w:t>
            </w:r>
          </w:p>
        </w:tc>
        <w:tc>
          <w:tcPr>
            <w:tcW w:type="dxa" w:w="1080"/>
          </w:tcPr>
          <w:p>
            <w:r>
              <w:rPr>
                <w:b/>
                <w:sz w:val="18"/>
              </w:rPr>
              <w:t>measurementdepthcm</w:t>
            </w:r>
          </w:p>
        </w:tc>
        <w:tc>
          <w:tcPr>
            <w:tcW w:type="dxa" w:w="1080"/>
          </w:tcPr>
          <w:p>
            <w:r>
              <w:rPr>
                <w:b/>
                <w:sz w:val="18"/>
              </w:rPr>
              <w:t>velocitymms</w:t>
            </w:r>
          </w:p>
        </w:tc>
        <w:tc>
          <w:tcPr>
            <w:tcW w:type="dxa" w:w="1080"/>
          </w:tcPr>
          <w:p>
            <w:r>
              <w:rPr>
                <w:b/>
                <w:sz w:val="18"/>
              </w:rPr>
              <w:t>probemassmg_instant</w:t>
            </w:r>
          </w:p>
        </w:tc>
        <w:tc>
          <w:tcPr>
            <w:tcW w:type="dxa" w:w="1080"/>
          </w:tcPr>
          <w:p>
            <w:r>
              <w:rPr>
                <w:b/>
                <w:sz w:val="18"/>
              </w:rPr>
              <w:t>newmassmgperacq</w:t>
            </w:r>
          </w:p>
        </w:tc>
        <w:tc>
          <w:tcPr>
            <w:tcW w:type="dxa" w:w="1080"/>
          </w:tcPr>
          <w:p>
            <w:r>
              <w:rPr>
                <w:b/>
                <w:sz w:val="18"/>
              </w:rPr>
              <w:t>masspassedmgperacq</w:t>
            </w:r>
          </w:p>
        </w:tc>
        <w:tc>
          <w:tcPr>
            <w:tcW w:type="dxa" w:w="1080"/>
          </w:tcPr>
          <w:p>
            <w:r>
              <w:rPr>
                <w:b/>
                <w:sz w:val="18"/>
              </w:rPr>
              <w:t>refreshfractionper_acq</w:t>
            </w:r>
          </w:p>
        </w:tc>
        <w:tc>
          <w:tcPr>
            <w:tcW w:type="dxa" w:w="1080"/>
          </w:tcPr>
          <w:p>
            <w:r>
              <w:rPr>
                <w:b/>
                <w:sz w:val="18"/>
              </w:rPr>
              <w:t>effectivesamplesize_mg</w:t>
            </w:r>
          </w:p>
        </w:tc>
      </w:tr>
      <w:tr>
        <w:tc>
          <w:tcPr>
            <w:tcW w:type="dxa" w:w="1080"/>
          </w:tcPr>
          <w:p>
            <w:r>
              <w:rPr>
                <w:sz w:val="18"/>
              </w:rPr>
              <w:t>1.0000</w:t>
            </w:r>
          </w:p>
        </w:tc>
        <w:tc>
          <w:tcPr>
            <w:tcW w:type="dxa" w:w="1080"/>
          </w:tcPr>
          <w:p>
            <w:r>
              <w:rPr>
                <w:sz w:val="18"/>
              </w:rPr>
              <w:t>0.1000</w:t>
            </w:r>
          </w:p>
        </w:tc>
        <w:tc>
          <w:tcPr>
            <w:tcW w:type="dxa" w:w="1080"/>
          </w:tcPr>
          <w:p>
            <w:r>
              <w:rPr>
                <w:sz w:val="18"/>
              </w:rPr>
              <w:t>11.1998</w:t>
            </w:r>
          </w:p>
        </w:tc>
        <w:tc>
          <w:tcPr>
            <w:tcW w:type="dxa" w:w="1080"/>
          </w:tcPr>
          <w:p>
            <w:r>
              <w:rPr>
                <w:sz w:val="18"/>
              </w:rPr>
              <w:t>147.2622</w:t>
            </w:r>
          </w:p>
        </w:tc>
        <w:tc>
          <w:tcPr>
            <w:tcW w:type="dxa" w:w="1080"/>
          </w:tcPr>
          <w:p>
            <w:r>
              <w:rPr>
                <w:sz w:val="18"/>
              </w:rPr>
              <w:t>65.9722</w:t>
            </w:r>
          </w:p>
        </w:tc>
        <w:tc>
          <w:tcPr>
            <w:tcW w:type="dxa" w:w="1080"/>
          </w:tcPr>
          <w:p>
            <w:r>
              <w:rPr>
                <w:sz w:val="18"/>
              </w:rPr>
              <w:t>1649.3056</w:t>
            </w:r>
          </w:p>
        </w:tc>
        <w:tc>
          <w:tcPr>
            <w:tcW w:type="dxa" w:w="1080"/>
          </w:tcPr>
          <w:p>
            <w:r>
              <w:rPr>
                <w:sz w:val="18"/>
              </w:rPr>
              <w:t>0.4480</w:t>
            </w:r>
          </w:p>
        </w:tc>
        <w:tc>
          <w:tcPr>
            <w:tcW w:type="dxa" w:w="1080"/>
          </w:tcPr>
          <w:p>
            <w:r>
              <w:rPr>
                <w:sz w:val="18"/>
              </w:rPr>
              <w:t>65.9722</w:t>
            </w:r>
          </w:p>
        </w:tc>
      </w:tr>
      <w:tr>
        <w:tc>
          <w:tcPr>
            <w:tcW w:type="dxa" w:w="1080"/>
          </w:tcPr>
          <w:p>
            <w:r>
              <w:rPr>
                <w:sz w:val="18"/>
              </w:rPr>
              <w:t>2.0526</w:t>
            </w:r>
          </w:p>
        </w:tc>
        <w:tc>
          <w:tcPr>
            <w:tcW w:type="dxa" w:w="1080"/>
          </w:tcPr>
          <w:p>
            <w:r>
              <w:rPr>
                <w:sz w:val="18"/>
              </w:rPr>
              <w:t>0.1000</w:t>
            </w:r>
          </w:p>
        </w:tc>
        <w:tc>
          <w:tcPr>
            <w:tcW w:type="dxa" w:w="1080"/>
          </w:tcPr>
          <w:p>
            <w:r>
              <w:rPr>
                <w:sz w:val="18"/>
              </w:rPr>
              <w:t>11.1998</w:t>
            </w:r>
          </w:p>
        </w:tc>
        <w:tc>
          <w:tcPr>
            <w:tcW w:type="dxa" w:w="1080"/>
          </w:tcPr>
          <w:p>
            <w:r>
              <w:rPr>
                <w:sz w:val="18"/>
              </w:rPr>
              <w:t>147.2622</w:t>
            </w:r>
          </w:p>
        </w:tc>
        <w:tc>
          <w:tcPr>
            <w:tcW w:type="dxa" w:w="1080"/>
          </w:tcPr>
          <w:p>
            <w:r>
              <w:rPr>
                <w:sz w:val="18"/>
              </w:rPr>
              <w:t>135.4167</w:t>
            </w:r>
          </w:p>
        </w:tc>
        <w:tc>
          <w:tcPr>
            <w:tcW w:type="dxa" w:w="1080"/>
          </w:tcPr>
          <w:p>
            <w:r>
              <w:rPr>
                <w:sz w:val="18"/>
              </w:rPr>
              <w:t>3385.4167</w:t>
            </w:r>
          </w:p>
        </w:tc>
        <w:tc>
          <w:tcPr>
            <w:tcW w:type="dxa" w:w="1080"/>
          </w:tcPr>
          <w:p>
            <w:r>
              <w:rPr>
                <w:sz w:val="18"/>
              </w:rPr>
              <w:t>0.9196</w:t>
            </w:r>
          </w:p>
        </w:tc>
        <w:tc>
          <w:tcPr>
            <w:tcW w:type="dxa" w:w="1080"/>
          </w:tcPr>
          <w:p>
            <w:r>
              <w:rPr>
                <w:sz w:val="18"/>
              </w:rPr>
              <w:t>135.4167</w:t>
            </w:r>
          </w:p>
        </w:tc>
      </w:tr>
      <w:tr>
        <w:tc>
          <w:tcPr>
            <w:tcW w:type="dxa" w:w="1080"/>
          </w:tcPr>
          <w:p>
            <w:r>
              <w:rPr>
                <w:sz w:val="18"/>
              </w:rPr>
              <w:t>3.1053</w:t>
            </w:r>
          </w:p>
        </w:tc>
        <w:tc>
          <w:tcPr>
            <w:tcW w:type="dxa" w:w="1080"/>
          </w:tcPr>
          <w:p>
            <w:r>
              <w:rPr>
                <w:sz w:val="18"/>
              </w:rPr>
              <w:t>0.1000</w:t>
            </w:r>
          </w:p>
        </w:tc>
        <w:tc>
          <w:tcPr>
            <w:tcW w:type="dxa" w:w="1080"/>
          </w:tcPr>
          <w:p>
            <w:r>
              <w:rPr>
                <w:sz w:val="18"/>
              </w:rPr>
              <w:t>11.1998</w:t>
            </w:r>
          </w:p>
        </w:tc>
        <w:tc>
          <w:tcPr>
            <w:tcW w:type="dxa" w:w="1080"/>
          </w:tcPr>
          <w:p>
            <w:r>
              <w:rPr>
                <w:sz w:val="18"/>
              </w:rPr>
              <w:t>147.2622</w:t>
            </w:r>
          </w:p>
        </w:tc>
        <w:tc>
          <w:tcPr>
            <w:tcW w:type="dxa" w:w="1080"/>
          </w:tcPr>
          <w:p>
            <w:r>
              <w:rPr>
                <w:sz w:val="18"/>
              </w:rPr>
              <w:t>147.2622</w:t>
            </w:r>
          </w:p>
        </w:tc>
        <w:tc>
          <w:tcPr>
            <w:tcW w:type="dxa" w:w="1080"/>
          </w:tcPr>
          <w:p>
            <w:r>
              <w:rPr>
                <w:sz w:val="18"/>
              </w:rPr>
              <w:t>5121.5278</w:t>
            </w:r>
          </w:p>
        </w:tc>
        <w:tc>
          <w:tcPr>
            <w:tcW w:type="dxa" w:w="1080"/>
          </w:tcPr>
          <w:p>
            <w:r>
              <w:rPr>
                <w:sz w:val="18"/>
              </w:rPr>
              <w:t>1.0000</w:t>
            </w:r>
          </w:p>
        </w:tc>
        <w:tc>
          <w:tcPr>
            <w:tcW w:type="dxa" w:w="1080"/>
          </w:tcPr>
          <w:p>
            <w:r>
              <w:rPr>
                <w:sz w:val="18"/>
              </w:rPr>
              <w:t>147.2622</w:t>
            </w:r>
          </w:p>
        </w:tc>
      </w:tr>
      <w:tr>
        <w:tc>
          <w:tcPr>
            <w:tcW w:type="dxa" w:w="1080"/>
          </w:tcPr>
          <w:p>
            <w:r>
              <w:rPr>
                <w:sz w:val="18"/>
              </w:rPr>
              <w:t>5.0000</w:t>
            </w:r>
          </w:p>
        </w:tc>
        <w:tc>
          <w:tcPr>
            <w:tcW w:type="dxa" w:w="1080"/>
          </w:tcPr>
          <w:p>
            <w:r>
              <w:rPr>
                <w:sz w:val="18"/>
              </w:rPr>
              <w:t>0.1000</w:t>
            </w:r>
          </w:p>
        </w:tc>
        <w:tc>
          <w:tcPr>
            <w:tcW w:type="dxa" w:w="1080"/>
          </w:tcPr>
          <w:p>
            <w:r>
              <w:rPr>
                <w:sz w:val="18"/>
              </w:rPr>
              <w:t>11.1998</w:t>
            </w:r>
          </w:p>
        </w:tc>
        <w:tc>
          <w:tcPr>
            <w:tcW w:type="dxa" w:w="1080"/>
          </w:tcPr>
          <w:p>
            <w:r>
              <w:rPr>
                <w:sz w:val="18"/>
              </w:rPr>
              <w:t>147.2622</w:t>
            </w:r>
          </w:p>
        </w:tc>
        <w:tc>
          <w:tcPr>
            <w:tcW w:type="dxa" w:w="1080"/>
          </w:tcPr>
          <w:p>
            <w:r>
              <w:rPr>
                <w:sz w:val="18"/>
              </w:rPr>
              <w:t>147.2622</w:t>
            </w:r>
          </w:p>
        </w:tc>
        <w:tc>
          <w:tcPr>
            <w:tcW w:type="dxa" w:w="1080"/>
          </w:tcPr>
          <w:p>
            <w:r>
              <w:rPr>
                <w:sz w:val="18"/>
              </w:rPr>
              <w:t>8246.5278</w:t>
            </w:r>
          </w:p>
        </w:tc>
        <w:tc>
          <w:tcPr>
            <w:tcW w:type="dxa" w:w="1080"/>
          </w:tcPr>
          <w:p>
            <w:r>
              <w:rPr>
                <w:sz w:val="18"/>
              </w:rPr>
              <w:t>1.0000</w:t>
            </w:r>
          </w:p>
        </w:tc>
        <w:tc>
          <w:tcPr>
            <w:tcW w:type="dxa" w:w="1080"/>
          </w:tcPr>
          <w:p>
            <w:r>
              <w:rPr>
                <w:sz w:val="18"/>
              </w:rPr>
              <w:t>147.2622</w:t>
            </w:r>
          </w:p>
        </w:tc>
      </w:tr>
    </w:tbl>
    <w:p/>
    <w:p>
      <w:pPr>
        <w:pStyle w:val="Heading1"/>
      </w:pPr>
      <w:r>
        <w:t>Figures</w:t>
      </w:r>
    </w:p>
    <w:p>
      <w:r>
        <w:t>The figures are ordered from one-dimensional depth and time mechanism checks to two-dimensional operating maps: effective sample size versus penetration depth, instantaneous probed mass versus penetration depth, effective sample size versus acquisition time, refresh fraction versus acquisition time, then the throughput-acquisition heatmaps.</w:t>
      </w:r>
    </w:p>
    <w:p>
      <w:r>
        <w:t>Figure 1. Effective sample size versus penetration depth for the covered-probe base case.</w:t>
      </w:r>
    </w:p>
    <w:p>
      <w:r>
        <w:drawing>
          <wp:inline xmlns:a="http://schemas.openxmlformats.org/drawingml/2006/main" xmlns:pic="http://schemas.openxmlformats.org/drawingml/2006/picture">
            <wp:extent cx="5715000" cy="3613978"/>
            <wp:docPr id="9" name="Picture 9"/>
            <wp:cNvGraphicFramePr>
              <a:graphicFrameLocks noChangeAspect="1"/>
            </wp:cNvGraphicFramePr>
            <a:graphic>
              <a:graphicData uri="http://schemas.openxmlformats.org/drawingml/2006/picture">
                <pic:pic>
                  <pic:nvPicPr>
                    <pic:cNvPr id="0" name="plot_01_effective_sample_size_vs_penetration_depth.png"/>
                    <pic:cNvPicPr/>
                  </pic:nvPicPr>
                  <pic:blipFill>
                    <a:blip r:embed="rId17"/>
                    <a:stretch>
                      <a:fillRect/>
                    </a:stretch>
                  </pic:blipFill>
                  <pic:spPr>
                    <a:xfrm>
                      <a:off x="0" y="0"/>
                      <a:ext cx="5715000" cy="3613978"/>
                    </a:xfrm>
                    <a:prstGeom prst="rect"/>
                  </pic:spPr>
                </pic:pic>
              </a:graphicData>
            </a:graphic>
          </wp:inline>
        </w:drawing>
      </w:r>
    </w:p>
    <w:p>
      <w:r>
        <w:t>Figure 2. Instantaneous probed mass versus penetration depth for the 25 mm NIR spot.</w:t>
      </w:r>
    </w:p>
    <w:p>
      <w:r>
        <w:drawing>
          <wp:inline xmlns:a="http://schemas.openxmlformats.org/drawingml/2006/main" xmlns:pic="http://schemas.openxmlformats.org/drawingml/2006/picture">
            <wp:extent cx="5715000" cy="3613978"/>
            <wp:docPr id="10" name="Picture 10"/>
            <wp:cNvGraphicFramePr>
              <a:graphicFrameLocks noChangeAspect="1"/>
            </wp:cNvGraphicFramePr>
            <a:graphic>
              <a:graphicData uri="http://schemas.openxmlformats.org/drawingml/2006/picture">
                <pic:pic>
                  <pic:nvPicPr>
                    <pic:cNvPr id="0" name="plot_02_instantaneous_probed_mass_vs_penetration_depth.png"/>
                    <pic:cNvPicPr/>
                  </pic:nvPicPr>
                  <pic:blipFill>
                    <a:blip r:embed="rId18"/>
                    <a:stretch>
                      <a:fillRect/>
                    </a:stretch>
                  </pic:blipFill>
                  <pic:spPr>
                    <a:xfrm>
                      <a:off x="0" y="0"/>
                      <a:ext cx="5715000" cy="3613978"/>
                    </a:xfrm>
                    <a:prstGeom prst="rect"/>
                  </pic:spPr>
                </pic:pic>
              </a:graphicData>
            </a:graphic>
          </wp:inline>
        </w:drawing>
      </w:r>
    </w:p>
    <w:p>
      <w:r>
        <w:t>Figure 3. Effective sample size versus acquisition time at the base penetration depth.</w:t>
      </w:r>
    </w:p>
    <w:p>
      <w:r>
        <w:drawing>
          <wp:inline xmlns:a="http://schemas.openxmlformats.org/drawingml/2006/main" xmlns:pic="http://schemas.openxmlformats.org/drawingml/2006/picture">
            <wp:extent cx="5715000" cy="3613978"/>
            <wp:docPr id="11" name="Picture 11"/>
            <wp:cNvGraphicFramePr>
              <a:graphicFrameLocks noChangeAspect="1"/>
            </wp:cNvGraphicFramePr>
            <a:graphic>
              <a:graphicData uri="http://schemas.openxmlformats.org/drawingml/2006/picture">
                <pic:pic>
                  <pic:nvPicPr>
                    <pic:cNvPr id="0" name="plot_03_effective_sample_size_vs_acquisition_time.png"/>
                    <pic:cNvPicPr/>
                  </pic:nvPicPr>
                  <pic:blipFill>
                    <a:blip r:embed="rId19"/>
                    <a:stretch>
                      <a:fillRect/>
                    </a:stretch>
                  </pic:blipFill>
                  <pic:spPr>
                    <a:xfrm>
                      <a:off x="0" y="0"/>
                      <a:ext cx="5715000" cy="3613978"/>
                    </a:xfrm>
                    <a:prstGeom prst="rect"/>
                  </pic:spPr>
                </pic:pic>
              </a:graphicData>
            </a:graphic>
          </wp:inline>
        </w:drawing>
      </w:r>
    </w:p>
    <w:p>
      <w:r>
        <w:t>Figure 4. Refresh fraction versus acquisition time for the 25 mm NIR spot.</w:t>
      </w:r>
    </w:p>
    <w:p>
      <w:r>
        <w:drawing>
          <wp:inline xmlns:a="http://schemas.openxmlformats.org/drawingml/2006/main" xmlns:pic="http://schemas.openxmlformats.org/drawingml/2006/picture">
            <wp:extent cx="5715000" cy="3613978"/>
            <wp:docPr id="12" name="Picture 12"/>
            <wp:cNvGraphicFramePr>
              <a:graphicFrameLocks noChangeAspect="1"/>
            </wp:cNvGraphicFramePr>
            <a:graphic>
              <a:graphicData uri="http://schemas.openxmlformats.org/drawingml/2006/picture">
                <pic:pic>
                  <pic:nvPicPr>
                    <pic:cNvPr id="0" name="plot_04_refresh_fraction_vs_acquisition_time.png"/>
                    <pic:cNvPicPr/>
                  </pic:nvPicPr>
                  <pic:blipFill>
                    <a:blip r:embed="rId20"/>
                    <a:stretch>
                      <a:fillRect/>
                    </a:stretch>
                  </pic:blipFill>
                  <pic:spPr>
                    <a:xfrm>
                      <a:off x="0" y="0"/>
                      <a:ext cx="5715000" cy="3613978"/>
                    </a:xfrm>
                    <a:prstGeom prst="rect"/>
                  </pic:spPr>
                </pic:pic>
              </a:graphicData>
            </a:graphic>
          </wp:inline>
        </w:drawing>
      </w:r>
    </w:p>
    <w:p>
      <w:r>
        <w:t>Figure 5. Throughput-acquisition heatmap for the effective sample-size proxy.</w:t>
      </w:r>
    </w:p>
    <w:p>
      <w:r>
        <w:drawing>
          <wp:inline xmlns:a="http://schemas.openxmlformats.org/drawingml/2006/main" xmlns:pic="http://schemas.openxmlformats.org/drawingml/2006/picture">
            <wp:extent cx="5715000" cy="3948627"/>
            <wp:docPr id="13" name="Picture 13"/>
            <wp:cNvGraphicFramePr>
              <a:graphicFrameLocks noChangeAspect="1"/>
            </wp:cNvGraphicFramePr>
            <a:graphic>
              <a:graphicData uri="http://schemas.openxmlformats.org/drawingml/2006/picture">
                <pic:pic>
                  <pic:nvPicPr>
                    <pic:cNvPr id="0" name="plot_05_heatmap_effective_sample_size_throughput_vs_acquisition.png"/>
                    <pic:cNvPicPr/>
                  </pic:nvPicPr>
                  <pic:blipFill>
                    <a:blip r:embed="rId21"/>
                    <a:stretch>
                      <a:fillRect/>
                    </a:stretch>
                  </pic:blipFill>
                  <pic:spPr>
                    <a:xfrm>
                      <a:off x="0" y="0"/>
                      <a:ext cx="5715000" cy="3948627"/>
                    </a:xfrm>
                    <a:prstGeom prst="rect"/>
                  </pic:spPr>
                </pic:pic>
              </a:graphicData>
            </a:graphic>
          </wp:inline>
        </w:drawing>
      </w:r>
    </w:p>
    <w:p>
      <w:r>
        <w:t>Figure 6. Throughput-acquisition heatmap for mass passed the NIR spot footprint.</w:t>
      </w:r>
    </w:p>
    <w:p>
      <w:r>
        <w:drawing>
          <wp:inline xmlns:a="http://schemas.openxmlformats.org/drawingml/2006/main" xmlns:pic="http://schemas.openxmlformats.org/drawingml/2006/picture">
            <wp:extent cx="5715000" cy="3907352"/>
            <wp:docPr id="14" name="Picture 14"/>
            <wp:cNvGraphicFramePr>
              <a:graphicFrameLocks noChangeAspect="1"/>
            </wp:cNvGraphicFramePr>
            <a:graphic>
              <a:graphicData uri="http://schemas.openxmlformats.org/drawingml/2006/picture">
                <pic:pic>
                  <pic:nvPicPr>
                    <pic:cNvPr id="0" name="plot_06_heatmap_mass_passed_throughput_vs_acquisition.png"/>
                    <pic:cNvPicPr/>
                  </pic:nvPicPr>
                  <pic:blipFill>
                    <a:blip r:embed="rId22"/>
                    <a:stretch>
                      <a:fillRect/>
                    </a:stretch>
                  </pic:blipFill>
                  <pic:spPr>
                    <a:xfrm>
                      <a:off x="0" y="0"/>
                      <a:ext cx="5715000" cy="3907352"/>
                    </a:xfrm>
                    <a:prstGeom prst="rect"/>
                  </pic:spPr>
                </pic:pic>
              </a:graphicData>
            </a:graphic>
          </wp:inline>
        </w:drawing>
      </w:r>
    </w:p>
    <w:p>
      <w:pPr>
        <w:pStyle w:val="Heading2"/>
      </w:pPr>
      <w:r>
        <w:t>Results Interpretation</w:t>
      </w:r>
    </w:p>
    <w:p>
      <w:pPr>
        <w:pStyle w:val="ListBullet"/>
      </w:pPr>
      <w:r>
        <w:t>the probe is treated as continuously covered by design during normal operation</w:t>
      </w:r>
    </w:p>
    <w:p>
      <w:pPr>
        <w:pStyle w:val="ListBullet"/>
      </w:pPr>
      <w:r>
        <w:t>increasing penetration depth raises both instantaneous illuminated mass and the effective-sample-size ceiling</w:t>
      </w:r>
    </w:p>
    <w:p>
      <w:pPr>
        <w:pStyle w:val="ListBullet"/>
      </w:pPr>
      <w:r>
        <w:t>increasing acquisition time raises refresh fraction and effective sample size until transport renewal approaches saturation</w:t>
      </w:r>
    </w:p>
    <w:p>
      <w:pPr>
        <w:pStyle w:val="ListBullet"/>
      </w:pPr>
      <w:r>
        <w:t>throughput controls powder velocity and therefore the operating envelope seen in the 2D heatmap</w:t>
      </w:r>
    </w:p>
    <w:p>
      <w:pPr>
        <w:pStyle w:val="ListBullet"/>
      </w:pPr>
      <w:r>
        <w:t>the 25 mm NIR spot is fixed across all sweeps, so the trends isolate depth, time, and throughput effects rather than changes in spot geometry</w:t>
      </w:r>
    </w:p>
    <w:p>
      <w:pPr>
        <w:pStyle w:val="Heading2"/>
      </w:pPr>
      <w:r>
        <w:t>Practical Implications</w:t>
      </w:r>
    </w:p>
    <w:p>
      <w:pPr>
        <w:pStyle w:val="ListBullet"/>
      </w:pPr>
      <w:r>
        <w:t>penetration depth uncertainty matters directly because it changes the illuminated mass and the resulting effective sampled mass proxy</w:t>
      </w:r>
    </w:p>
    <w:p>
      <w:pPr>
        <w:pStyle w:val="ListBullet"/>
      </w:pPr>
      <w:r>
        <w:t>acquisition time selection still trades off spectral quality against how much unique material is refreshed through the side-window NIR measurement</w:t>
      </w:r>
    </w:p>
    <w:p>
      <w:pPr>
        <w:pStyle w:val="ListBullet"/>
      </w:pPr>
      <w:r>
        <w:t>throughput directly controls powder velocity and therefore refresh rate near the measurement location</w:t>
      </w:r>
    </w:p>
    <w:p>
      <w:pPr>
        <w:pStyle w:val="ListBullet"/>
      </w:pPr>
      <w:r>
        <w:t>the measurement model assumes the operating window always keeps the probe buried, so sampling sensitivity is governed here by depth, acquisition time, and throughput rather than by fill-level excursions</w:t>
      </w:r>
    </w:p>
    <w:p>
      <w:pPr>
        <w:pStyle w:val="Heading2"/>
      </w:pPr>
      <w:r>
        <w:t>Limitations</w:t>
      </w:r>
    </w:p>
    <w:p>
      <w:pPr>
        <w:pStyle w:val="ListBullet"/>
      </w:pPr>
      <w:r>
        <w:t>probe coverage is assumed guaranteed and is not stress-tested against abnormal operating states</w:t>
      </w:r>
    </w:p>
    <w:p>
      <w:pPr>
        <w:pStyle w:val="ListBullet"/>
      </w:pPr>
      <w:r>
        <w:t>the rotating outlet valve is not modeled dynamically</w:t>
      </w:r>
    </w:p>
    <w:p>
      <w:pPr>
        <w:pStyle w:val="ListBullet"/>
      </w:pPr>
      <w:r>
        <w:t>the local velocity near the probe is approximated from throughput and full pipe cross-section</w:t>
      </w:r>
    </w:p>
    <w:p>
      <w:pPr>
        <w:pStyle w:val="ListBullet"/>
      </w:pPr>
      <w:r>
        <w:t>no turbulence, wall-slip, or recirculation model is included</w:t>
      </w:r>
    </w:p>
    <w:p>
      <w:pPr>
        <w:pStyle w:val="ListBullet"/>
      </w:pPr>
      <w:r>
        <w:t>penetration depth is swept as an effective parameter, not derived from a wavelength-dependent optical model</w:t>
      </w:r>
    </w:p>
    <w:p>
      <w:pPr>
        <w:pStyle w:val="ListBullet"/>
      </w:pPr>
      <w:r>
        <w:t>bulk density is assumed uniform and constant</w:t>
      </w:r>
    </w:p>
    <w:p>
      <w:pPr>
        <w:pStyle w:val="ListBullet"/>
      </w:pPr>
      <w:r>
        <w:t>no particle-level sampling statistics or optical weighting correction are included</w:t>
      </w:r>
    </w:p>
    <w:p>
      <w:pPr>
        <w:pStyle w:val="Heading1"/>
      </w:pPr>
      <w:r>
        <w:t>Appendices</w:t>
      </w:r>
    </w:p>
    <w:p>
      <w:pPr>
        <w:pStyle w:val="Heading2"/>
      </w:pPr>
      <w:r>
        <w:t>Next Logical Extensions</w:t>
      </w:r>
    </w:p>
    <w:p>
      <w:pPr>
        <w:pStyle w:val="ListBullet"/>
      </w:pPr>
      <w:r>
        <w:t>improved local velocity model near the covered probe</w:t>
      </w:r>
    </w:p>
    <w:p>
      <w:pPr>
        <w:pStyle w:val="ListBullet"/>
      </w:pPr>
      <w:r>
        <w:t>uncertainty bands for measurement depth and bulk density</w:t>
      </w:r>
    </w:p>
    <w:p>
      <w:pPr>
        <w:pStyle w:val="ListBullet"/>
      </w:pPr>
      <w:r>
        <w:t>non-uniform optical weighting functions for the 25 mm NIR spot</w:t>
      </w:r>
    </w:p>
    <w:p>
      <w:pPr>
        <w:pStyle w:val="ListBullet"/>
      </w:pPr>
      <w:r>
        <w:t>wavelength-dependent penetration-depth model</w:t>
      </w:r>
    </w:p>
    <w:p>
      <w:pPr>
        <w:pStyle w:val="ListBullet"/>
      </w:pPr>
      <w:r>
        <w:t>calibration of the proxy against measured PAT spectra and tracer-style transport experiments</w:t>
      </w:r>
    </w:p>
    <w:p>
      <w:pPr>
        <w:pStyle w:val="Heading1"/>
      </w:pPr>
      <w:r>
        <w:t>Exported artifacts</w:t>
      </w:r>
    </w:p>
    <w:p>
      <w:r>
        <w:t>CSV files</w:t>
      </w:r>
    </w:p>
    <w:p>
      <w:pPr>
        <w:pStyle w:val="ListBullet"/>
      </w:pPr>
      <w:r>
        <w:t>results_full.csv</w:t>
      </w:r>
    </w:p>
    <w:p>
      <w:pPr>
        <w:pStyle w:val="ListBullet"/>
      </w:pPr>
      <w:r>
        <w:t>summary_table.csv</w:t>
      </w:r>
    </w:p>
    <w:p>
      <w:pPr>
        <w:pStyle w:val="ListBullet"/>
      </w:pPr>
      <w:r>
        <w:t>penetration_depth_table.csv</w:t>
      </w:r>
    </w:p>
    <w:p>
      <w:pPr>
        <w:pStyle w:val="ListBullet"/>
      </w:pPr>
      <w:r>
        <w:t>input_summary.csv</w:t>
      </w:r>
    </w:p>
    <w:p>
      <w:r>
        <w:t>Figure files</w:t>
      </w:r>
    </w:p>
    <w:p>
      <w:pPr>
        <w:pStyle w:val="ListBullet"/>
      </w:pPr>
      <w:r>
        <w:t>plot_01_effective_sample_size_vs_penetration_depth.png</w:t>
      </w:r>
    </w:p>
    <w:p>
      <w:pPr>
        <w:pStyle w:val="ListBullet"/>
      </w:pPr>
      <w:r>
        <w:t>plot_02_instantaneous_probed_mass_vs_penetration_depth.png</w:t>
      </w:r>
    </w:p>
    <w:p>
      <w:pPr>
        <w:pStyle w:val="ListBullet"/>
      </w:pPr>
      <w:r>
        <w:t>plot_03_effective_sample_size_vs_acquisition_time.png</w:t>
      </w:r>
    </w:p>
    <w:p>
      <w:pPr>
        <w:pStyle w:val="ListBullet"/>
      </w:pPr>
      <w:r>
        <w:t>plot_04_refresh_fraction_vs_acquisition_time.png</w:t>
      </w:r>
    </w:p>
    <w:p>
      <w:pPr>
        <w:pStyle w:val="ListBullet"/>
      </w:pPr>
      <w:r>
        <w:t>plot_05_heatmap_effective_sample_size_throughput_vs_acquisition.png</w:t>
      </w:r>
    </w:p>
    <w:p>
      <w:pPr>
        <w:pStyle w:val="ListBullet"/>
      </w:pPr>
      <w:r>
        <w:t>plot_06_heatmap_mass_passed_throughput_vs_acquisition.png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