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20260326_090523</w:t>
      </w:r>
    </w:p>
    <w:p>
      <w:r>
        <w:t>Notebook filename: setup_D_pipe_effective_sample_size.ipynb</w:t>
      </w:r>
    </w:p>
    <w:p>
      <w:r>
        <w:t>Run directory: C:\temp files\EFS\reports\setup_d\20260326_090523</w:t>
      </w:r>
    </w:p>
    <w:p>
      <w:pPr>
        <w:pStyle w:val="Heading1"/>
      </w:pPr>
      <w:r>
        <w:t>Notebook Narrative</w:t>
      </w:r>
    </w:p>
    <w:p>
      <w:pPr>
        <w:pStyle w:val="Heading1"/>
      </w:pPr>
      <w:r>
        <w:t>Setup D: inclined pipe effective sample size estimate</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estimate during one spectrum acquisition.</w:t>
      </w:r>
    </w:p>
    <w:p>
      <w:r>
        <w:t>The result is best interpreted as a gross refreshed optical mass / effective sample size estimate.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estimate,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estimate in mg</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w:t>
      </w:r>
    </w:p>
    <w:p>
      <w:r>
        <w:drawing>
          <wp:inline xmlns:a="http://schemas.openxmlformats.org/drawingml/2006/main" xmlns:pic="http://schemas.openxmlformats.org/drawingml/2006/picture">
            <wp:extent cx="5257800" cy="2702436"/>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Probe footprint area:</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Optical volume per static slice:</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r>
        <w:t>Crossing time of one probe diameter:</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Number of refreshes during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r>
        <w:t>Effective sample size estimate:</w:t>
      </w:r>
    </w:p>
    <w:p>
      <w:r>
        <w:drawing>
          <wp:inline xmlns:a="http://schemas.openxmlformats.org/drawingml/2006/main" xmlns:pic="http://schemas.openxmlformats.org/drawingml/2006/picture">
            <wp:extent cx="5257800" cy="857250"/>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857250"/>
                    </a:xfrm>
                    <a:prstGeom prst="rect"/>
                  </pic:spPr>
                </pic:pic>
              </a:graphicData>
            </a:graphic>
          </wp:inline>
        </w:drawing>
      </w:r>
    </w:p>
    <w:p>
      <w:r>
        <w:t>Equivalent transported-volume view:</w:t>
      </w:r>
    </w:p>
    <w:p>
      <w:r>
        <w:drawing>
          <wp:inline xmlns:a="http://schemas.openxmlformats.org/drawingml/2006/main" xmlns:pic="http://schemas.openxmlformats.org/drawingml/2006/picture">
            <wp:extent cx="5257800" cy="738060"/>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861262"/>
                    </a:xfrm>
                    <a:prstGeom prst="rect"/>
                  </pic:spPr>
                </pic:pic>
              </a:graphicData>
            </a:graphic>
          </wp:inline>
        </w:drawing>
      </w:r>
    </w:p>
    <w:p>
      <w:r>
        <w:t>Under the simplified assumptions, these forms are equivalent because the probe footprint is refreshed by translation of material past the window. 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 mechanistic explanation</w:t>
      </w:r>
    </w:p>
    <w:p>
      <w:r>
        <w:t>In this model, density enters in two places that work in opposite directions. The two effects have exactly equal magnitude and cancel each other.</w:t>
      </w:r>
    </w:p>
    <w:p>
      <w:r>
        <w:t>Effect 1 — more mass per snapshot. A denser powder packs more grams into the same optical cylinder in front of the probe. The static optical mass scales linearly with density:</w:t>
      </w:r>
    </w:p>
    <w:p>
      <w:r>
        <w:drawing>
          <wp:inline xmlns:a="http://schemas.openxmlformats.org/drawingml/2006/main" xmlns:pic="http://schemas.openxmlformats.org/drawingml/2006/picture">
            <wp:extent cx="5257800" cy="801403"/>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801403"/>
                    </a:xfrm>
                    <a:prstGeom prst="rect"/>
                  </pic:spPr>
                </pic:pic>
              </a:graphicData>
            </a:graphic>
          </wp:inline>
        </w:drawing>
      </w:r>
    </w:p>
    <w:p>
      <w:r>
        <w:t>Doubling the density doubles the mass the probe sees at any instant.</w:t>
      </w:r>
    </w:p>
    <w:p>
      <w:r>
        <w:t>Effect 2 — slower flow, fewer refreshes. The pipe must deliver the same mass throughput dotm (in kg/h). If the powder is denser, fewer cubic centimeters per second are needed to carry that mass. The superficial velocity is inversely proportional to density:</w:t>
      </w:r>
    </w:p>
    <w:p>
      <w:r>
        <w:drawing>
          <wp:inline xmlns:a="http://schemas.openxmlformats.org/drawingml/2006/main" xmlns:pic="http://schemas.openxmlformats.org/drawingml/2006/picture">
            <wp:extent cx="5257800" cy="2422876"/>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2422876"/>
                    </a:xfrm>
                    <a:prstGeom prst="rect"/>
                  </pic:spPr>
                </pic:pic>
              </a:graphicData>
            </a:graphic>
          </wp:inline>
        </w:drawing>
      </w:r>
    </w:p>
    <w:p>
      <w:r>
        <w:t>Doubling the density halves the velocity, which halves the number of probe-diameter crossings during the acquisition, and therefore halves the refresh count.</w:t>
      </w:r>
    </w:p>
    <w:p>
      <w:r>
        <w:t>Net result. Twice the mass per refresh multiplied by half as many refreshes gives the same total:</w:t>
      </w:r>
    </w:p>
    <w:p>
      <w:r>
        <w:t>m_eff = underbracerho * A_probe * d_pen_mass per refresh x underbracefract_acq * vd_probe_number of refreshes</w:t>
      </w:r>
    </w:p>
    <w:p>
      <w:r>
        <w:t>Substituting v = dotm/(rho A_pipe), the rho in the numerator from optical mass and the 1/rho from velocity cancel exactly:</w:t>
      </w:r>
    </w:p>
    <w:p>
      <w:r>
        <w:drawing>
          <wp:inline xmlns:a="http://schemas.openxmlformats.org/drawingml/2006/main" xmlns:pic="http://schemas.openxmlformats.org/drawingml/2006/picture">
            <wp:extent cx="5257800" cy="1230215"/>
            <wp:docPr id="15" name="Picture 15"/>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1230215"/>
                    </a:xfrm>
                    <a:prstGeom prst="rect"/>
                  </pic:spPr>
                </pic:pic>
              </a:graphicData>
            </a:graphic>
          </wp:inline>
        </w:drawing>
      </w:r>
    </w:p>
    <w:p>
      <w:r>
        <w:t>No rho remains. The effective sample size estimate depends only on mass throughput, geometry, and acquisition time.</w:t>
      </w:r>
    </w:p>
    <w:p>
      <w:r>
        <w:t>Physical intuition. The probe footprint acts as a small window in a pipe carrying a fixed mass flow. During one acquisition, a certain mass of powder is transported past that window. That transported mass depends on how much of the pipe's total mass flow is intercepted by the probe footprint (the geometric ratio Aprobe / Apipe), how long the acquisition lasts (tacq), and an optical depth scaling (dpen / dprobe). None of these involve density. Whether the stream is a slow trickle of dense material or a faster flow of light material, the mass flux through the probe window is the same because rho * v = dotm / Apipe depends only on throughput and pipe geometry.</w:t>
      </w:r>
    </w:p>
    <w:p>
      <w:r>
        <w:t>Why this is a model property, not a universal physical truth. The cancellation is exact only because the model assumes: (1) the full pipe cross-section carries flow uniformly, (2) density is spatially uniform, and (3) the velocity at the probe equals the cross-sectional average. In reality, density would re-enter through any of these mechanisms:</w:t>
      </w:r>
    </w:p>
    <w:p>
      <w:pPr>
        <w:pStyle w:val="ListBullet"/>
      </w:pPr>
      <w:r>
        <w:t>Filling fraction: a denser powder may fill a smaller cross-sectional fraction of the tilted pipe, changing A_flowing and therefore the actual local velocity.</w:t>
      </w:r>
    </w:p>
    <w:p>
      <w:pPr>
        <w:pStyle w:val="ListBullet"/>
      </w:pPr>
      <w:r>
        <w:t>Wall friction: denser powders may have different friction coefficients against the pipe wall, altering the local velocity where the probe sits.</w:t>
      </w:r>
    </w:p>
    <w:p>
      <w:pPr>
        <w:pStyle w:val="ListBullet"/>
      </w:pPr>
      <w:r>
        <w:t>Consolidation: denser powder may compact more under its own weight, creating a local density at the probe that differs from the bulk average.</w:t>
      </w:r>
    </w:p>
    <w:p>
      <w:pPr>
        <w:pStyle w:val="ListBullet"/>
      </w:pPr>
      <w:r>
        <w:t>Flow regime transitions: at extreme densities the flow could transition between sliding, rolling, and slug regimes, each with different renewal characteristics.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estimate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w:t>
      </w:r>
    </w:p>
    <w:p>
      <w:pPr>
        <w:pStyle w:val="ListBullet"/>
      </w:pPr>
      <w:r>
        <w:t>throughput = 95.0 kg/h</w:t>
      </w:r>
    </w:p>
    <w:p>
      <w:pPr>
        <w:pStyle w:val="ListBullet"/>
      </w:pPr>
      <w:r>
        <w:t>density = 0.4 g/cm³</w:t>
      </w:r>
    </w:p>
    <w:p>
      <w:pPr>
        <w:pStyle w:val="ListBullet"/>
      </w:pPr>
      <w:r>
        <w:t>pipe diameter = 65 mm</w:t>
      </w:r>
    </w:p>
    <w:p>
      <w:pPr>
        <w:pStyle w:val="ListBullet"/>
      </w:pPr>
      <w:r>
        <w:t>pipe tilt = 26.5 degrees from vertical</w:t>
      </w:r>
    </w:p>
    <w:p>
      <w:pPr>
        <w:pStyle w:val="ListBullet"/>
      </w:pPr>
      <w:r>
        <w:t>pipe total height = 340 mm</w:t>
      </w:r>
    </w:p>
    <w:p>
      <w:pPr>
        <w:pStyle w:val="ListBullet"/>
      </w:pPr>
      <w:r>
        <w:t>horizontal displacement = 100.2 mm</w:t>
      </w:r>
    </w:p>
    <w:p>
      <w:pPr>
        <w:pStyle w:val="ListBullet"/>
      </w:pPr>
      <w:r>
        <w:t>probe diameter = 5.0 mm</w:t>
      </w:r>
    </w:p>
    <w:p>
      <w:pPr>
        <w:pStyle w:val="ListBullet"/>
      </w:pPr>
      <w:r>
        <w:t>penetration depth = 1.0 mm</w:t>
      </w:r>
    </w:p>
    <w:p>
      <w:pPr>
        <w:pStyle w:val="ListBullet"/>
      </w:pPr>
      <w:r>
        <w:t>acquisition time = 1.8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3"/>
      </w:pPr>
      <w:r>
        <w:t>Computed results</w:t>
      </w:r>
    </w:p>
    <w:p>
      <w:pPr>
        <w:pStyle w:val="ListBullet"/>
      </w:pPr>
      <w:r>
        <w:t>Pipe cross-sectional area: 33.1831 cm²</w:t>
      </w:r>
    </w:p>
    <w:p>
      <w:pPr>
        <w:pStyle w:val="ListBullet"/>
      </w:pPr>
      <w:r>
        <w:t>Throughput: 26.3889 g/s</w:t>
      </w:r>
    </w:p>
    <w:p>
      <w:pPr>
        <w:pStyle w:val="ListBullet"/>
      </w:pPr>
      <w:r>
        <w:t>Superficial velocity: 1.9881 cm/s</w:t>
      </w:r>
    </w:p>
    <w:p>
      <w:pPr>
        <w:pStyle w:val="ListBullet"/>
      </w:pPr>
      <w:r>
        <w:t>Probe area: 0.196350 cm²</w:t>
      </w:r>
    </w:p>
    <w:p>
      <w:pPr>
        <w:pStyle w:val="ListBullet"/>
      </w:pPr>
      <w:r>
        <w:t>Optical volume per static slice: 0.019635 cm³</w:t>
      </w:r>
    </w:p>
    <w:p>
      <w:pPr>
        <w:pStyle w:val="ListBullet"/>
      </w:pPr>
      <w:r>
        <w:t>Optical mass per static slice: 7.8540 mg</w:t>
      </w:r>
    </w:p>
    <w:p>
      <w:pPr>
        <w:pStyle w:val="ListBullet"/>
      </w:pPr>
      <w:r>
        <w:t>Crossing time: 0.2515 s</w:t>
      </w:r>
    </w:p>
    <w:p>
      <w:pPr>
        <w:pStyle w:val="ListBullet"/>
      </w:pPr>
      <w:r>
        <w:t>Number of refreshes: 7.1573</w:t>
      </w:r>
    </w:p>
    <w:p>
      <w:pPr>
        <w:pStyle w:val="ListBullet"/>
      </w:pPr>
      <w:r>
        <w:t>Effective sample size estimate: 56.2130 mg</w:t>
      </w:r>
    </w:p>
    <w:p>
      <w:pPr>
        <w:pStyle w:val="ListBullet"/>
      </w:pPr>
      <w:r>
        <w:t>Passed volume during acquisition: 0.702663 cm³</w:t>
      </w:r>
    </w:p>
    <w:p>
      <w:pPr>
        <w:pStyle w:val="ListBullet"/>
      </w:pPr>
      <w:r>
        <w:t>Passed mass during acquisition: 281.0651 mg</w:t>
      </w:r>
    </w:p>
    <w:p>
      <w:pPr>
        <w:pStyle w:val="Heading1"/>
      </w:pPr>
      <w:r>
        <w:t>Parameter sweep</w:t>
      </w:r>
    </w:p>
    <w:p>
      <w:r>
        <w:t>The full parameter sweep spans:</w:t>
      </w:r>
    </w:p>
    <w:p>
      <w:pPr>
        <w:pStyle w:val="ListBullet"/>
      </w:pPr>
      <w:r>
        <w:t>throughput from 40 to 100 kg/h in 5 kg/h steps</w:t>
      </w:r>
    </w:p>
    <w:p>
      <w:pPr>
        <w:pStyle w:val="ListBullet"/>
      </w:pPr>
      <w:r>
        <w:t>density = 0.4, 0.5, 0.6 g/cm³</w:t>
      </w:r>
    </w:p>
    <w:p>
      <w:pPr>
        <w:pStyle w:val="ListBullet"/>
      </w:pPr>
      <w:r>
        <w:t>penetration depth from 0.1 to 2.0 mm in 0.1 mm steps</w:t>
      </w:r>
    </w:p>
    <w:p>
      <w:pPr>
        <w:pStyle w:val="ListBullet"/>
      </w:pPr>
      <w:r>
        <w:t>probe diameter fixed at 5.0 mm</w:t>
      </w:r>
    </w:p>
    <w:p>
      <w:pPr>
        <w:pStyle w:val="ListBullet"/>
      </w:pPr>
      <w:r>
        <w:t>acquisition time fixed at 1.8 s</w:t>
      </w:r>
    </w:p>
    <w:p>
      <w:r>
        <w:t>Generated 780 modeled scenarios.</w:t>
      </w:r>
    </w:p>
    <w:p>
      <w:pPr>
        <w:pStyle w:val="Heading1"/>
      </w:pPr>
      <w:r>
        <w:t>Visualization</w:t>
      </w:r>
    </w:p>
    <w:p>
      <w:r>
        <w:drawing>
          <wp:inline xmlns:a="http://schemas.openxmlformats.org/drawingml/2006/main" xmlns:pic="http://schemas.openxmlformats.org/drawingml/2006/picture">
            <wp:extent cx="5715000" cy="3706448"/>
            <wp:docPr id="16" name="Picture 16"/>
            <wp:cNvGraphicFramePr>
              <a:graphicFrameLocks noChangeAspect="1"/>
            </wp:cNvGraphicFramePr>
            <a:graphic>
              <a:graphicData uri="http://schemas.openxmlformats.org/drawingml/2006/picture">
                <pic:pic>
                  <pic:nvPicPr>
                    <pic:cNvPr id="0" name="plot_01_estimate_vs_penetration_depth.png"/>
                    <pic:cNvPicPr/>
                  </pic:nvPicPr>
                  <pic:blipFill>
                    <a:blip r:embed="rId2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17" name="Picture 17"/>
            <wp:cNvGraphicFramePr>
              <a:graphicFrameLocks noChangeAspect="1"/>
            </wp:cNvGraphicFramePr>
            <a:graphic>
              <a:graphicData uri="http://schemas.openxmlformats.org/drawingml/2006/picture">
                <pic:pic>
                  <pic:nvPicPr>
                    <pic:cNvPr id="0" name="plot_02_estimate_vs_throughput.png"/>
                    <pic:cNvPicPr/>
                  </pic:nvPicPr>
                  <pic:blipFill>
                    <a:blip r:embed="rId25"/>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18" name="Picture 18"/>
            <wp:cNvGraphicFramePr>
              <a:graphicFrameLocks noChangeAspect="1"/>
            </wp:cNvGraphicFramePr>
            <a:graphic>
              <a:graphicData uri="http://schemas.openxmlformats.org/drawingml/2006/picture">
                <pic:pic>
                  <pic:nvPicPr>
                    <pic:cNvPr id="0" name="plot_03_heatmap_density_05.png"/>
                    <pic:cNvPicPr/>
                  </pic:nvPicPr>
                  <pic:blipFill>
                    <a:blip r:embed="rId26"/>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0" name="Picture 20"/>
            <wp:cNvGraphicFramePr>
              <a:graphicFrameLocks noChangeAspect="1"/>
            </wp:cNvGraphicFramePr>
            <a:graphic>
              <a:graphicData uri="http://schemas.openxmlformats.org/drawingml/2006/picture">
                <pic:pic>
                  <pic:nvPicPr>
                    <pic:cNvPr id="0" name="plot_05_optical_mass_per_refresh.png"/>
                    <pic:cNvPicPr/>
                  </pic:nvPicPr>
                  <pic:blipFill>
                    <a:blip r:embed="rId28"/>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1" name="Picture 21"/>
            <wp:cNvGraphicFramePr>
              <a:graphicFrameLocks noChangeAspect="1"/>
            </wp:cNvGraphicFramePr>
            <a:graphic>
              <a:graphicData uri="http://schemas.openxmlformats.org/drawingml/2006/picture">
                <pic:pic>
                  <pic:nvPicPr>
                    <pic:cNvPr id="0" name="plot_06_contour_density_06.png"/>
                    <pic:cNvPicPr/>
                  </pic:nvPicPr>
                  <pic:blipFill>
                    <a:blip r:embed="rId29"/>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7_passed_mass_vs_throughput.png"/>
                    <pic:cNvPicPr/>
                  </pic:nvPicPr>
                  <pic:blipFill>
                    <a:blip r:embed="rId30"/>
                    <a:stretch>
                      <a:fillRect/>
                    </a:stretch>
                  </pic:blipFill>
                  <pic:spPr>
                    <a:xfrm>
                      <a:off x="0" y="0"/>
                      <a:ext cx="5715000" cy="3706448"/>
                    </a:xfrm>
                    <a:prstGeom prst="rect"/>
                  </pic:spPr>
                </pic:pic>
              </a:graphicData>
            </a:graphic>
          </wp:inline>
        </w:drawing>
      </w:r>
    </w:p>
    <w:p>
      <w:pPr>
        <w:pStyle w:val="Heading1"/>
      </w:pPr>
      <w:r>
        <w:t>Interpretation of trends</w:t>
      </w:r>
    </w:p>
    <w:p>
      <w:r>
        <w:t>Several clear trends appear in this first-order model.</w:t>
      </w:r>
    </w:p>
    <w:p>
      <w:pPr>
        <w:pStyle w:val="ListBullet"/>
      </w:pPr>
      <w:r>
        <w:t>Increasing density increases the optical mass per static slice linearly because the optical volume is scaled by density.</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w:t>
      </w:r>
    </w:p>
    <w:p>
      <w:r>
        <w:t>Density enters in two places that work in opposite directions with exactly equal magnitude. A higher density increases the static optical mass seen at one instant (more grams per cubic centimeter in the optical volume), but simultaneously reduces the superficial velocity in the same proportion (fewer cubic centimeters per second needed to deliver the same mass throughput). The larger mass per refresh and the smaller number of refreshes offset each other exactly.</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1"/>
      </w:pPr>
      <w:r>
        <w:t>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tilt angle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1"/>
      </w:pPr>
      <w:r>
        <w:t>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plot_01_estimate_vs_penetration_depth.png</w:t>
      </w:r>
    </w:p>
    <w:p>
      <w:pPr>
        <w:pStyle w:val="ListBullet"/>
      </w:pPr>
      <w:r>
        <w:t>plot_02_estimate_vs_throughput.png</w:t>
      </w:r>
    </w:p>
    <w:p>
      <w:pPr>
        <w:pStyle w:val="ListBullet"/>
      </w:pPr>
      <w:r>
        <w:t>plot_03_heatmap_density_05.png</w:t>
      </w:r>
    </w:p>
    <w:p>
      <w:pPr>
        <w:pStyle w:val="ListBullet"/>
      </w:pPr>
      <w:r>
        <w:t>plot_04_superficial_velocity_vs_throughput.png</w:t>
      </w:r>
    </w:p>
    <w:p>
      <w:pPr>
        <w:pStyle w:val="ListBullet"/>
      </w:pPr>
      <w:r>
        <w:t>plot_05_optical_mass_per_refresh.png</w:t>
      </w:r>
    </w:p>
    <w:p>
      <w:pPr>
        <w:pStyle w:val="ListBullet"/>
      </w:pPr>
      <w:r>
        <w:t>plot_06_contour_density_06.png</w:t>
      </w:r>
    </w:p>
    <w:p>
      <w:pPr>
        <w:pStyle w:val="ListBullet"/>
      </w:pPr>
      <w:r>
        <w:t>plot_07_passed_mass_vs_throughput.png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