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Report</w:t>
      </w:r>
    </w:p>
    <w:p>
      <w:pPr>
        <w:pStyle w:val="Heading1"/>
      </w:pPr>
      <w:r>
        <w:t>Run Metadata</w:t>
      </w:r>
    </w:p>
    <w:p>
      <w:r>
        <w:t>Setup name: setup_d</w:t>
      </w:r>
    </w:p>
    <w:p>
      <w:r>
        <w:t>Run timestamp: 20260326_114127</w:t>
      </w:r>
    </w:p>
    <w:p>
      <w:r>
        <w:t>Notebook filename: setup_D_pipe_effective_sample_size.ipynb</w:t>
      </w:r>
    </w:p>
    <w:p>
      <w:r>
        <w:t>Run directory: C:\temp files\EFS\reports\setup_d\20260326_114127</w:t>
      </w:r>
    </w:p>
    <w:p>
      <w:pPr>
        <w:pStyle w:val="Heading1"/>
      </w:pPr>
      <w:r>
        <w:t>Notebook Narrative</w:t>
      </w:r>
    </w:p>
    <w:p>
      <w:pPr>
        <w:pStyle w:val="Heading1"/>
      </w:pPr>
      <w:r>
        <w:t>Setup D: inclined pipe effective sample size estimate</w:t>
      </w:r>
    </w:p>
    <w:p>
      <w:pPr>
        <w:pStyle w:val="Heading2"/>
      </w:pPr>
      <w:r>
        <w:t>1. Title and purpose</w:t>
      </w:r>
    </w:p>
    <w:p>
      <w:r>
        <w:t>This notebook develops a first-order engineering model for Setup D, an inclined powder pipe with an NIR diffuse reflectance probe mounted in the lower part of the pipe. The objective is to estimate a flow-based effective sample size estimate during one spectrum acquisition.</w:t>
      </w:r>
    </w:p>
    <w:p>
      <w:r>
        <w:t>The result is best interpreted as a gross refreshed optical mass / effective sample size estimate. It is not a full radiative-transfer model, not a particulate sampling-theory model, and not a validated estimate of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optical interaction region with a simple geometric volume. Here, the optical sampling region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way to compare conditions.</w:t>
      </w:r>
    </w:p>
    <w:p>
      <w:pPr>
        <w:pStyle w:val="Heading3"/>
      </w:pPr>
      <w:r>
        <w:t>Why moving powder increases the sampled mass during one acquisition</w:t>
      </w:r>
    </w:p>
    <w:p>
      <w:r>
        <w:t>If powder continuously moves past the probe during one acquisition, the optical interaction zone is refreshed. Faster renewal means that more powder volume can pass through the probe footprint during the acquisition period. That does not guarantee statistical independence of all material seen by the instrument, but it increases the gross refreshed optical mass available to contribute to the measurement.</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mechanical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optical sampling volume is approximated as a cylinder: probe window area x penetration depth</w:t>
      </w:r>
    </w:p>
    <w:p>
      <w:pPr>
        <w:pStyle w:val="ListBullet"/>
      </w:pPr>
      <w:r>
        <w:t>the probe window is fully covered by powder at all times</w:t>
      </w:r>
    </w:p>
    <w:p>
      <w:pPr>
        <w:pStyle w:val="ListBullet"/>
      </w:pPr>
      <w:r>
        <w:t>powder renewal at the probe is approximated by a bulk superficial velocity derived from throughput, density, and pipe cross-sectional area</w:t>
      </w:r>
    </w:p>
    <w:p>
      <w:pPr>
        <w:pStyle w:val="ListBullet"/>
      </w:pPr>
      <w:r>
        <w:t>bulk density is constant and spatially uniform</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flow-based effective sample size estimate, not a validated independent sample mass</w:t>
      </w:r>
    </w:p>
    <w:p>
      <w:r>
        <w:t>These assumptions intentionally favor transparency and reuse over physical completeness.</w:t>
      </w:r>
    </w:p>
    <w:p>
      <w:pPr>
        <w:pStyle w:val="Heading2"/>
      </w:pPr>
      <w:r>
        <w:t>5. Mathematical model</w:t>
      </w:r>
    </w:p>
    <w:p>
      <w:r>
        <w:t>Internal units used throughout the notebook are:</w:t>
      </w:r>
    </w:p>
    <w:p>
      <w:pPr>
        <w:pStyle w:val="ListBullet"/>
      </w:pPr>
      <w:r>
        <w:t>geometry in cm</w:t>
      </w:r>
    </w:p>
    <w:p>
      <w:pPr>
        <w:pStyle w:val="ListBullet"/>
      </w:pPr>
      <w:r>
        <w:t>time in s</w:t>
      </w:r>
    </w:p>
    <w:p>
      <w:pPr>
        <w:pStyle w:val="ListBullet"/>
      </w:pPr>
      <w:r>
        <w:t>density in g/cm³</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effective sample size estimate in mg</w:t>
      </w:r>
    </w:p>
    <w:p>
      <w:r>
        <w:t>Pipe radius:</w:t>
      </w:r>
    </w:p>
    <w:p>
      <w:r>
        <w:drawing>
          <wp:inline xmlns:a="http://schemas.openxmlformats.org/drawingml/2006/main" xmlns:pic="http://schemas.openxmlformats.org/drawingml/2006/picture">
            <wp:extent cx="5257800" cy="214884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2148840"/>
                    </a:xfrm>
                    <a:prstGeom prst="rect"/>
                  </pic:spPr>
                </pic:pic>
              </a:graphicData>
            </a:graphic>
          </wp:inline>
        </w:drawing>
      </w:r>
    </w:p>
    <w:p>
      <w:r>
        <w:t>Pipe cross-sectional area:</w:t>
      </w:r>
    </w:p>
    <w:p>
      <w:r>
        <w:drawing>
          <wp:inline xmlns:a="http://schemas.openxmlformats.org/drawingml/2006/main" xmlns:pic="http://schemas.openxmlformats.org/drawingml/2006/picture">
            <wp:extent cx="5257800" cy="1512685"/>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2685"/>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141437"/>
                    </a:xfrm>
                    <a:prstGeom prst="rect"/>
                  </pic:spPr>
                </pic:pic>
              </a:graphicData>
            </a:graphic>
          </wp:inline>
        </w:drawing>
      </w:r>
    </w:p>
    <w:p>
      <w:r>
        <w:t>Superficial velocity:</w:t>
      </w:r>
    </w:p>
    <w:p>
      <w:r>
        <w:drawing>
          <wp:inline xmlns:a="http://schemas.openxmlformats.org/drawingml/2006/main" xmlns:pic="http://schemas.openxmlformats.org/drawingml/2006/picture">
            <wp:extent cx="5257800" cy="1028112"/>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028112"/>
                    </a:xfrm>
                    <a:prstGeom prst="rect"/>
                  </pic:spPr>
                </pic:pic>
              </a:graphicData>
            </a:graphic>
          </wp:inline>
        </w:drawing>
      </w:r>
    </w:p>
    <w:p>
      <w:r>
        <w:t>Worked-example check (dotm = 95 kg/h, rho = 0.4 g/cm^3, d_pipe = 65 mm):</w:t>
      </w:r>
    </w:p>
    <w:p>
      <w:r>
        <w:t>| Step | Value | Unit | |---|---|---| | dotm | 95 x 1000 / 3600 = 26.3889 | g/s | | Apipe | pi (6.5/2)^2 = 33.1831 | cm² | | rho  Apipe | 0.4 x 33.1831 = 13.2732 | g/cm | | v = dotm / (rho  A_pipe) | 26.3889 / 13.2732 = 1.9882 | cm/s |</w:t>
      </w:r>
    </w:p>
    <w:p>
      <w:r>
        <w:t>Probe footprint area:</w:t>
      </w:r>
    </w:p>
    <w:p>
      <w:r>
        <w:drawing>
          <wp:inline xmlns:a="http://schemas.openxmlformats.org/drawingml/2006/main" xmlns:pic="http://schemas.openxmlformats.org/drawingml/2006/picture">
            <wp:extent cx="5257800" cy="1312140"/>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1312140"/>
                    </a:xfrm>
                    <a:prstGeom prst="rect"/>
                  </pic:spPr>
                </pic:pic>
              </a:graphicData>
            </a:graphic>
          </wp:inline>
        </w:drawing>
      </w:r>
    </w:p>
    <w:p>
      <w:r>
        <w:t>Optical volume per static slice:</w:t>
      </w:r>
    </w:p>
    <w:p>
      <w:r>
        <w:drawing>
          <wp:inline xmlns:a="http://schemas.openxmlformats.org/drawingml/2006/main" xmlns:pic="http://schemas.openxmlformats.org/drawingml/2006/picture">
            <wp:extent cx="5257800" cy="947112"/>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947112"/>
                    </a:xfrm>
                    <a:prstGeom prst="rect"/>
                  </pic:spPr>
                </pic:pic>
              </a:graphicData>
            </a:graphic>
          </wp:inline>
        </w:drawing>
      </w:r>
    </w:p>
    <w:p>
      <w:r>
        <w:t>Optical mass per static slice:</w:t>
      </w:r>
    </w:p>
    <w:p>
      <w:r>
        <w:drawing>
          <wp:inline xmlns:a="http://schemas.openxmlformats.org/drawingml/2006/main" xmlns:pic="http://schemas.openxmlformats.org/drawingml/2006/picture">
            <wp:extent cx="5257800" cy="1182161"/>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1182161"/>
                    </a:xfrm>
                    <a:prstGeom prst="rect"/>
                  </pic:spPr>
                </pic:pic>
              </a:graphicData>
            </a:graphic>
          </wp:inline>
        </w:drawing>
      </w:r>
    </w:p>
    <w:p>
      <w:r>
        <w:t>Crossing time of one probe diameter:</w:t>
      </w:r>
    </w:p>
    <w:p>
      <w:r>
        <w:drawing>
          <wp:inline xmlns:a="http://schemas.openxmlformats.org/drawingml/2006/main" xmlns:pic="http://schemas.openxmlformats.org/drawingml/2006/picture">
            <wp:extent cx="5257800" cy="1770622"/>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1770622"/>
                    </a:xfrm>
                    <a:prstGeom prst="rect"/>
                  </pic:spPr>
                </pic:pic>
              </a:graphicData>
            </a:graphic>
          </wp:inline>
        </w:drawing>
      </w:r>
    </w:p>
    <w:p>
      <w:r>
        <w:t>Number of refreshes during acquisition:</w:t>
      </w:r>
    </w:p>
    <w:p>
      <w:r>
        <w:drawing>
          <wp:inline xmlns:a="http://schemas.openxmlformats.org/drawingml/2006/main" xmlns:pic="http://schemas.openxmlformats.org/drawingml/2006/picture">
            <wp:extent cx="5257800" cy="1724462"/>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724462"/>
                    </a:xfrm>
                    <a:prstGeom prst="rect"/>
                  </pic:spPr>
                </pic:pic>
              </a:graphicData>
            </a:graphic>
          </wp:inline>
        </w:drawing>
      </w:r>
    </w:p>
    <w:p>
      <w:r>
        <w:t>Effective sample size estimate:</w:t>
      </w:r>
    </w:p>
    <w:p>
      <w:r>
        <w:drawing>
          <wp:inline xmlns:a="http://schemas.openxmlformats.org/drawingml/2006/main" xmlns:pic="http://schemas.openxmlformats.org/drawingml/2006/picture">
            <wp:extent cx="5257800" cy="857250"/>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857250"/>
                    </a:xfrm>
                    <a:prstGeom prst="rect"/>
                  </pic:spPr>
                </pic:pic>
              </a:graphicData>
            </a:graphic>
          </wp:inline>
        </w:drawing>
      </w:r>
    </w:p>
    <w:p>
      <w:pPr>
        <w:pStyle w:val="Heading3"/>
      </w:pPr>
      <w:r>
        <w:t>Gross transported mass (reference quantity)</w:t>
      </w:r>
    </w:p>
    <w:p>
      <w:r>
        <w:t>The passed volume and passed mass represent the total volume and mass of powder that slides past the full probe window during one acquisition, treating the probe footprint as a gate across the entire probe diameter:</w:t>
      </w:r>
    </w:p>
    <w:p>
      <w:r>
        <w:drawing>
          <wp:inline xmlns:a="http://schemas.openxmlformats.org/drawingml/2006/main" xmlns:pic="http://schemas.openxmlformats.org/drawingml/2006/picture">
            <wp:extent cx="5257800" cy="738060"/>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738060"/>
                    </a:xfrm>
                    <a:prstGeom prst="rect"/>
                  </pic:spPr>
                </pic:pic>
              </a:graphicData>
            </a:graphic>
          </wp:inline>
        </w:drawing>
      </w:r>
    </w:p>
    <w:p>
      <w:r>
        <w:drawing>
          <wp:inline xmlns:a="http://schemas.openxmlformats.org/drawingml/2006/main" xmlns:pic="http://schemas.openxmlformats.org/drawingml/2006/picture">
            <wp:extent cx="5257800" cy="861262"/>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861262"/>
                    </a:xfrm>
                    <a:prstGeom prst="rect"/>
                  </pic:spPr>
                </pic:pic>
              </a:graphicData>
            </a:graphic>
          </wp:inline>
        </w:drawing>
      </w:r>
    </w:p>
    <w:p>
      <w:r>
        <w:t>This quantity does not account for the optical penetration depth. It represents all material that crosses the probe footprint, regardless of how deep the light penetrates.</w:t>
      </w:r>
    </w:p>
    <w:p>
      <w:pPr>
        <w:pStyle w:val="Heading3"/>
      </w:pPr>
      <w:r>
        <w:t>Relationship between meff and mpassed</w:t>
      </w:r>
    </w:p>
    <w:p>
      <w:r>
        <w:t>The effective sample size estimate is always smaller than the passed mass by the ratio of penetration depth to probe diameter:</w:t>
      </w:r>
    </w:p>
    <w:p>
      <w:r>
        <w:drawing>
          <wp:inline xmlns:a="http://schemas.openxmlformats.org/drawingml/2006/main" xmlns:pic="http://schemas.openxmlformats.org/drawingml/2006/picture">
            <wp:extent cx="5257800" cy="1277824"/>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277824"/>
                    </a:xfrm>
                    <a:prstGeom prst="rect"/>
                  </pic:spPr>
                </pic:pic>
              </a:graphicData>
            </a:graphic>
          </wp:inline>
        </w:drawing>
      </w:r>
    </w:p>
    <w:p>
      <w:r>
        <w:t>This is because the instrument only interacts with powder within the penetration depth dpen, not across the full probe diameter dprobe. The passed mass serves as a gross upper bound — the maximum mass that could contribute if the probe could see through its entire diameter. The ratio dpen / dprobe scales it down to the optically relevant fraction.</w:t>
      </w:r>
    </w:p>
    <w:p>
      <w:r>
        <w:t>For the worked example (dpen = 1.0 mm, dprobe = 5.0 mm):</w:t>
      </w:r>
    </w:p>
    <w:p>
      <w:r>
        <w:drawing>
          <wp:inline xmlns:a="http://schemas.openxmlformats.org/drawingml/2006/main" xmlns:pic="http://schemas.openxmlformats.org/drawingml/2006/picture">
            <wp:extent cx="5257800" cy="1628155"/>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1628155"/>
                    </a:xfrm>
                    <a:prstGeom prst="rect"/>
                  </pic:spPr>
                </pic:pic>
              </a:graphicData>
            </a:graphic>
          </wp:inline>
        </w:drawing>
      </w:r>
    </w:p>
    <w:p>
      <w:r>
        <w:t>so meff is 20% of mpassed.</w:t>
      </w:r>
    </w:p>
    <w:p>
      <w:r>
        <w:t>The 26.5 degree tilt remains part of the physical setup description, but the base model still uses the cross-sectional superficial velocity as the first-order renewal velocity approximation.</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g/cm³</w:t>
      </w:r>
    </w:p>
    <w:p>
      <w:pPr>
        <w:pStyle w:val="ListBullet"/>
      </w:pPr>
      <w:r>
        <w:t>penetration depth from 0.1 to 2.0 mm in 0.1 mm steps</w:t>
      </w:r>
    </w:p>
    <w:p>
      <w:pPr>
        <w:pStyle w:val="ListBullet"/>
      </w:pPr>
      <w:r>
        <w:t>probe diameter fixed at 5 mm</w:t>
      </w:r>
    </w:p>
    <w:p>
      <w:pPr>
        <w:pStyle w:val="ListBullet"/>
      </w:pPr>
      <w:r>
        <w:t>acquisition time fixed at 1.0 s unless changed in the parameter cell</w:t>
      </w:r>
    </w:p>
    <w:p>
      <w:pPr>
        <w:pStyle w:val="Heading2"/>
      </w:pPr>
      <w:r>
        <w:t>11. Results tables</w:t>
      </w:r>
    </w:p>
    <w:p>
      <w:pPr>
        <w:pStyle w:val="Heading2"/>
      </w:pPr>
      <w:r>
        <w:t>12. Visualization</w:t>
      </w:r>
    </w:p>
    <w:p>
      <w:pPr>
        <w:pStyle w:val="Heading2"/>
      </w:pPr>
      <w:r>
        <w:t>13. Interpretation of trends</w:t>
      </w:r>
    </w:p>
    <w:p>
      <w:r>
        <w:t>Several clear trends appear in this first-order model.</w:t>
      </w:r>
    </w:p>
    <w:p>
      <w:pPr>
        <w:pStyle w:val="ListBullet"/>
      </w:pPr>
      <w:r>
        <w:t>Increasing density increases the optical mass per static slice linearly because mopt = rho Aprobe d_pen.</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estimate, not necessarily an independent sampling mass.</w:t>
      </w:r>
    </w:p>
    <w:p>
      <w:pPr>
        <w:pStyle w:val="Heading3"/>
      </w:pPr>
      <w:r>
        <w:t>Why density cancels completely: mechanistic explanation</w:t>
      </w:r>
    </w:p>
    <w:p>
      <w:r>
        <w:t>In this model, density enters in two places that work in opposite directions. The two effects have exactly equal magnitude and cancel each other.</w:t>
      </w:r>
    </w:p>
    <w:p>
      <w:r>
        <w:t>Effect 1 — more mass per snapshot. A denser powder packs more grams into the same optical cylinder in front of the probe. The static optical mass scales linearly with density:</w:t>
      </w:r>
    </w:p>
    <w:p>
      <w:r>
        <w:drawing>
          <wp:inline xmlns:a="http://schemas.openxmlformats.org/drawingml/2006/main" xmlns:pic="http://schemas.openxmlformats.org/drawingml/2006/picture">
            <wp:extent cx="5257800" cy="801403"/>
            <wp:docPr id="15" name="Picture 15"/>
            <wp:cNvGraphicFramePr>
              <a:graphicFrameLocks noChangeAspect="1"/>
            </wp:cNvGraphicFramePr>
            <a:graphic>
              <a:graphicData uri="http://schemas.openxmlformats.org/drawingml/2006/picture">
                <pic:pic>
                  <pic:nvPicPr>
                    <pic:cNvPr id="0" name="equation_014.png"/>
                    <pic:cNvPicPr/>
                  </pic:nvPicPr>
                  <pic:blipFill>
                    <a:blip r:embed="rId23"/>
                    <a:stretch>
                      <a:fillRect/>
                    </a:stretch>
                  </pic:blipFill>
                  <pic:spPr>
                    <a:xfrm>
                      <a:off x="0" y="0"/>
                      <a:ext cx="5257800" cy="801403"/>
                    </a:xfrm>
                    <a:prstGeom prst="rect"/>
                  </pic:spPr>
                </pic:pic>
              </a:graphicData>
            </a:graphic>
          </wp:inline>
        </w:drawing>
      </w:r>
    </w:p>
    <w:p>
      <w:r>
        <w:t>Doubling the density doubles the mass the probe sees at any instant.</w:t>
      </w:r>
    </w:p>
    <w:p>
      <w:r>
        <w:t>Effect 2 — slower flow, fewer refreshes. The pipe must deliver the same mass throughput dotm (in kg/h). If the powder is denser, fewer cubic centimeters per second are needed to carry that mass. The superficial velocity is inversely proportional to density:</w:t>
      </w:r>
    </w:p>
    <w:p>
      <w:r>
        <w:drawing>
          <wp:inline xmlns:a="http://schemas.openxmlformats.org/drawingml/2006/main" xmlns:pic="http://schemas.openxmlformats.org/drawingml/2006/picture">
            <wp:extent cx="5257800" cy="2422876"/>
            <wp:docPr id="16" name="Picture 16"/>
            <wp:cNvGraphicFramePr>
              <a:graphicFrameLocks noChangeAspect="1"/>
            </wp:cNvGraphicFramePr>
            <a:graphic>
              <a:graphicData uri="http://schemas.openxmlformats.org/drawingml/2006/picture">
                <pic:pic>
                  <pic:nvPicPr>
                    <pic:cNvPr id="0" name="equation_015.png"/>
                    <pic:cNvPicPr/>
                  </pic:nvPicPr>
                  <pic:blipFill>
                    <a:blip r:embed="rId24"/>
                    <a:stretch>
                      <a:fillRect/>
                    </a:stretch>
                  </pic:blipFill>
                  <pic:spPr>
                    <a:xfrm>
                      <a:off x="0" y="0"/>
                      <a:ext cx="5257800" cy="2422876"/>
                    </a:xfrm>
                    <a:prstGeom prst="rect"/>
                  </pic:spPr>
                </pic:pic>
              </a:graphicData>
            </a:graphic>
          </wp:inline>
        </w:drawing>
      </w:r>
    </w:p>
    <w:p>
      <w:r>
        <w:t>Doubling the density halves the velocity, which halves the number of probe-diameter crossings during the acquisition, and therefore halves the refresh count.</w:t>
      </w:r>
    </w:p>
    <w:p>
      <w:r>
        <w:t>Net result. Twice the mass per refresh multiplied by half as many refreshes gives the same total:</w:t>
      </w:r>
    </w:p>
    <w:p>
      <w:r>
        <w:t>m_eff = underbracerho * A_probe * d_pen_mass per refresh x underbracefract_acq * vd_probe_number of refreshes</w:t>
      </w:r>
    </w:p>
    <w:p>
      <w:r>
        <w:t>Substituting v = dotm/(rho A_pipe), the rho in the numerator from optical mass and the 1/rho from velocity cancel exactly:</w:t>
      </w:r>
    </w:p>
    <w:p>
      <w:r>
        <w:drawing>
          <wp:inline xmlns:a="http://schemas.openxmlformats.org/drawingml/2006/main" xmlns:pic="http://schemas.openxmlformats.org/drawingml/2006/picture">
            <wp:extent cx="5257800" cy="1230215"/>
            <wp:docPr id="17" name="Picture 17"/>
            <wp:cNvGraphicFramePr>
              <a:graphicFrameLocks noChangeAspect="1"/>
            </wp:cNvGraphicFramePr>
            <a:graphic>
              <a:graphicData uri="http://schemas.openxmlformats.org/drawingml/2006/picture">
                <pic:pic>
                  <pic:nvPicPr>
                    <pic:cNvPr id="0" name="equation_017.png"/>
                    <pic:cNvPicPr/>
                  </pic:nvPicPr>
                  <pic:blipFill>
                    <a:blip r:embed="rId25"/>
                    <a:stretch>
                      <a:fillRect/>
                    </a:stretch>
                  </pic:blipFill>
                  <pic:spPr>
                    <a:xfrm>
                      <a:off x="0" y="0"/>
                      <a:ext cx="5257800" cy="1230215"/>
                    </a:xfrm>
                    <a:prstGeom prst="rect"/>
                  </pic:spPr>
                </pic:pic>
              </a:graphicData>
            </a:graphic>
          </wp:inline>
        </w:drawing>
      </w:r>
    </w:p>
    <w:p>
      <w:r>
        <w:t>No rho remains. The effective sample size estimate depends only on mass throughput, geometry, and acquisition time.</w:t>
      </w:r>
    </w:p>
    <w:p>
      <w:r>
        <w:t>Physical intuition. The probe footprint acts as a small window in a pipe carrying a fixed mass flow. During one acquisition, a certain mass of powder is transported past that window. That transported mass depends on how much of the pipe's total mass flow is intercepted by the probe footprint (the geometric ratio Aprobe / Apipe), how long the acquisition lasts (tacq), and an optical depth scaling (dpen / dprobe). None of these involve density. Whether the stream is a slow trickle of dense material or a faster flow of light material, the mass flux through the probe window is the same because rho * v = dotm / Apipe depends only on throughput and pipe geometry.</w:t>
      </w:r>
    </w:p>
    <w:p>
      <w:r>
        <w:t>Why this is a model property, not a universal physical truth. The cancellation is exact only because the model assumes: (1) the full pipe cross-section carries flow uniformly, (2) density is spatially uniform, and (3) the velocity at the probe equals the cross-sectional average. In reality, density would re-enter through any of these mechanisms:</w:t>
      </w:r>
    </w:p>
    <w:p>
      <w:pPr>
        <w:pStyle w:val="ListBullet"/>
      </w:pPr>
      <w:r>
        <w:t>Filling fraction: a denser powder may fill a smaller cross-sectional fraction of the tilted pipe, changing A_flowing and therefore the actual local velocity.</w:t>
      </w:r>
    </w:p>
    <w:p>
      <w:pPr>
        <w:pStyle w:val="ListBullet"/>
      </w:pPr>
      <w:r>
        <w:t>Wall friction: denser powders may have different friction coefficients against the pipe wall, altering the local velocity where the probe sits.</w:t>
      </w:r>
    </w:p>
    <w:p>
      <w:pPr>
        <w:pStyle w:val="ListBullet"/>
      </w:pPr>
      <w:r>
        <w:t>Consolidation: denser powder may compact more under its own weight, creating a local density at the probe that differs from the bulk average.</w:t>
      </w:r>
    </w:p>
    <w:p>
      <w:pPr>
        <w:pStyle w:val="ListBullet"/>
      </w:pPr>
      <w:r>
        <w:t>Flow regime transitions: at extreme densities the flow could transition between sliding, rolling, and slug regimes, each with different renewal characteristics.</w:t>
      </w:r>
    </w:p>
    <w:p>
      <w:pPr>
        <w:pStyle w:val="Heading2"/>
      </w:pPr>
      <w:r>
        <w:t>14. 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26.5 degree tilt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2"/>
      </w:pPr>
      <w:r>
        <w:t>15. Conclusions</w:t>
      </w:r>
    </w:p>
    <w:p>
      <w:r>
        <w:t>This notebook estimates a first-order flow-based effective sample size estimate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D estimates a first-order flow-based effective sample size estimate in a tilted pipe by combining optical mass per refresh with a refresh rate derived from superficial velocity.</w:t>
      </w:r>
    </w:p>
    <w:p>
      <w:pPr>
        <w:pStyle w:val="Heading1"/>
      </w:pPr>
      <w:r>
        <w:t>Assumptions</w:t>
      </w:r>
    </w:p>
    <w:p>
      <w:r>
        <w:t>Superficial velocity is used as a first-order flow approximation, density is uniform within each scenario, the optical volume is cylindrical, and the tilt effect is captured only through the stated simplified geometry.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w:t>
      </w:r>
    </w:p>
    <w:p>
      <w:pPr>
        <w:pStyle w:val="ListBullet"/>
      </w:pPr>
      <w:r>
        <w:t>throughput = 95.0 kg/h</w:t>
      </w:r>
    </w:p>
    <w:p>
      <w:pPr>
        <w:pStyle w:val="ListBullet"/>
      </w:pPr>
      <w:r>
        <w:t>density = 0.4 g/cm³</w:t>
      </w:r>
    </w:p>
    <w:p>
      <w:pPr>
        <w:pStyle w:val="ListBullet"/>
      </w:pPr>
      <w:r>
        <w:t>pipe diameter = 65 mm</w:t>
      </w:r>
    </w:p>
    <w:p>
      <w:pPr>
        <w:pStyle w:val="ListBullet"/>
      </w:pPr>
      <w:r>
        <w:t>pipe tilt = 26.5 degrees from vertical</w:t>
      </w:r>
    </w:p>
    <w:p>
      <w:pPr>
        <w:pStyle w:val="ListBullet"/>
      </w:pPr>
      <w:r>
        <w:t>pipe total height = 340 mm</w:t>
      </w:r>
    </w:p>
    <w:p>
      <w:pPr>
        <w:pStyle w:val="ListBullet"/>
      </w:pPr>
      <w:r>
        <w:t>horizontal displacement = 100.2 mm</w:t>
      </w:r>
    </w:p>
    <w:p>
      <w:pPr>
        <w:pStyle w:val="ListBullet"/>
      </w:pPr>
      <w:r>
        <w:t>probe diameter = 5.0 mm</w:t>
      </w:r>
    </w:p>
    <w:p>
      <w:pPr>
        <w:pStyle w:val="ListBullet"/>
      </w:pPr>
      <w:r>
        <w:t>penetration depth = 1.0 mm</w:t>
      </w:r>
    </w:p>
    <w:p>
      <w:pPr>
        <w:pStyle w:val="ListBullet"/>
      </w:pPr>
      <w:r>
        <w:t>acquisition time = 1.8 s</w:t>
      </w:r>
    </w:p>
    <w:p>
      <w:r>
        <w:t>This example should be interpreted as a first-order estimate. In a real tilted pipe, the local velocity at the lower wall may differ from the superficial velocity because the flowing layer can be asymmetric and concentrated near the lower side.</w:t>
      </w:r>
    </w:p>
    <w:p>
      <w:pPr>
        <w:pStyle w:val="Heading3"/>
      </w:pPr>
      <w:r>
        <w:t>Computed results</w:t>
      </w:r>
    </w:p>
    <w:p>
      <w:pPr>
        <w:pStyle w:val="ListBullet"/>
      </w:pPr>
      <w:r>
        <w:t>Pipe cross-sectional area: 33.1831 cm²</w:t>
      </w:r>
    </w:p>
    <w:p>
      <w:pPr>
        <w:pStyle w:val="ListBullet"/>
      </w:pPr>
      <w:r>
        <w:t>Throughput: 26.3889 g/s</w:t>
      </w:r>
    </w:p>
    <w:p>
      <w:pPr>
        <w:pStyle w:val="ListBullet"/>
      </w:pPr>
      <w:r>
        <w:t>Superficial velocity: 1.9881 cm/s</w:t>
      </w:r>
    </w:p>
    <w:p>
      <w:pPr>
        <w:pStyle w:val="ListBullet"/>
      </w:pPr>
      <w:r>
        <w:t>Probe area: 0.196350 cm²</w:t>
      </w:r>
    </w:p>
    <w:p>
      <w:pPr>
        <w:pStyle w:val="ListBullet"/>
      </w:pPr>
      <w:r>
        <w:t>Optical volume per static slice: 0.019635 cm³</w:t>
      </w:r>
    </w:p>
    <w:p>
      <w:pPr>
        <w:pStyle w:val="ListBullet"/>
      </w:pPr>
      <w:r>
        <w:t>Optical mass per static slice: 7.8540 mg</w:t>
      </w:r>
    </w:p>
    <w:p>
      <w:pPr>
        <w:pStyle w:val="ListBullet"/>
      </w:pPr>
      <w:r>
        <w:t>Crossing time: 0.2515 s</w:t>
      </w:r>
    </w:p>
    <w:p>
      <w:pPr>
        <w:pStyle w:val="ListBullet"/>
      </w:pPr>
      <w:r>
        <w:t>Number of refreshes: 7.1573</w:t>
      </w:r>
    </w:p>
    <w:p>
      <w:pPr>
        <w:pStyle w:val="ListBullet"/>
      </w:pPr>
      <w:r>
        <w:t>Effective sample size estimate: 56.2130 mg</w:t>
      </w:r>
    </w:p>
    <w:p>
      <w:pPr>
        <w:pStyle w:val="ListBullet"/>
      </w:pPr>
      <w:r>
        <w:t>Passed volume during acquisition: 0.702663 cm³</w:t>
      </w:r>
    </w:p>
    <w:p>
      <w:pPr>
        <w:pStyle w:val="ListBullet"/>
      </w:pPr>
      <w:r>
        <w:t>Passed mass during acquisition: 281.0651 mg</w:t>
      </w:r>
    </w:p>
    <w:p>
      <w:pPr>
        <w:pStyle w:val="Heading1"/>
      </w:pPr>
      <w:r>
        <w:t>Parameter sweep</w:t>
      </w:r>
    </w:p>
    <w:p>
      <w:r>
        <w:t>The full parameter sweep spans:</w:t>
      </w:r>
    </w:p>
    <w:p>
      <w:pPr>
        <w:pStyle w:val="ListBullet"/>
      </w:pPr>
      <w:r>
        <w:t>throughput from 40 to 100 kg/h in 5 kg/h steps</w:t>
      </w:r>
    </w:p>
    <w:p>
      <w:pPr>
        <w:pStyle w:val="ListBullet"/>
      </w:pPr>
      <w:r>
        <w:t>density = 0.4, 0.5, 0.6 g/cm³</w:t>
      </w:r>
    </w:p>
    <w:p>
      <w:pPr>
        <w:pStyle w:val="ListBullet"/>
      </w:pPr>
      <w:r>
        <w:t>penetration depth from 0.1 to 2.0 mm in 0.1 mm steps</w:t>
      </w:r>
    </w:p>
    <w:p>
      <w:pPr>
        <w:pStyle w:val="ListBullet"/>
      </w:pPr>
      <w:r>
        <w:t>probe diameter fixed at 5.0 mm</w:t>
      </w:r>
    </w:p>
    <w:p>
      <w:pPr>
        <w:pStyle w:val="ListBullet"/>
      </w:pPr>
      <w:r>
        <w:t>acquisition time fixed at 1.8 s</w:t>
      </w:r>
    </w:p>
    <w:p>
      <w:r>
        <w:t>Generated 780 modeled scenarios.</w:t>
      </w:r>
    </w:p>
    <w:p>
      <w:pPr>
        <w:pStyle w:val="Heading1"/>
      </w:pPr>
      <w:r>
        <w:t>Visualization</w:t>
      </w:r>
    </w:p>
    <w:p>
      <w:r>
        <w:drawing>
          <wp:inline xmlns:a="http://schemas.openxmlformats.org/drawingml/2006/main" xmlns:pic="http://schemas.openxmlformats.org/drawingml/2006/picture">
            <wp:extent cx="5715000" cy="3706448"/>
            <wp:docPr id="18" name="Picture 18"/>
            <wp:cNvGraphicFramePr>
              <a:graphicFrameLocks noChangeAspect="1"/>
            </wp:cNvGraphicFramePr>
            <a:graphic>
              <a:graphicData uri="http://schemas.openxmlformats.org/drawingml/2006/picture">
                <pic:pic>
                  <pic:nvPicPr>
                    <pic:cNvPr id="0" name="plot_01_estimate_vs_penetration_depth.png"/>
                    <pic:cNvPicPr/>
                  </pic:nvPicPr>
                  <pic:blipFill>
                    <a:blip r:embed="rId26"/>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19" name="Picture 19"/>
            <wp:cNvGraphicFramePr>
              <a:graphicFrameLocks noChangeAspect="1"/>
            </wp:cNvGraphicFramePr>
            <a:graphic>
              <a:graphicData uri="http://schemas.openxmlformats.org/drawingml/2006/picture">
                <pic:pic>
                  <pic:nvPicPr>
                    <pic:cNvPr id="0" name="plot_02_estimate_vs_throughput.png"/>
                    <pic:cNvPicPr/>
                  </pic:nvPicPr>
                  <pic:blipFill>
                    <a:blip r:embed="rId27"/>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0" name="Picture 20"/>
            <wp:cNvGraphicFramePr>
              <a:graphicFrameLocks noChangeAspect="1"/>
            </wp:cNvGraphicFramePr>
            <a:graphic>
              <a:graphicData uri="http://schemas.openxmlformats.org/drawingml/2006/picture">
                <pic:pic>
                  <pic:nvPicPr>
                    <pic:cNvPr id="0" name="plot_03_heatmap_density_05.png"/>
                    <pic:cNvPicPr/>
                  </pic:nvPicPr>
                  <pic:blipFill>
                    <a:blip r:embed="rId28"/>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1" name="Picture 21"/>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29"/>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2" name="Picture 22"/>
            <wp:cNvGraphicFramePr>
              <a:graphicFrameLocks noChangeAspect="1"/>
            </wp:cNvGraphicFramePr>
            <a:graphic>
              <a:graphicData uri="http://schemas.openxmlformats.org/drawingml/2006/picture">
                <pic:pic>
                  <pic:nvPicPr>
                    <pic:cNvPr id="0" name="plot_05_optical_mass_per_refresh.png"/>
                    <pic:cNvPicPr/>
                  </pic:nvPicPr>
                  <pic:blipFill>
                    <a:blip r:embed="rId30"/>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3" name="Picture 23"/>
            <wp:cNvGraphicFramePr>
              <a:graphicFrameLocks noChangeAspect="1"/>
            </wp:cNvGraphicFramePr>
            <a:graphic>
              <a:graphicData uri="http://schemas.openxmlformats.org/drawingml/2006/picture">
                <pic:pic>
                  <pic:nvPicPr>
                    <pic:cNvPr id="0" name="plot_06_contour_density_06.png"/>
                    <pic:cNvPicPr/>
                  </pic:nvPicPr>
                  <pic:blipFill>
                    <a:blip r:embed="rId31"/>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4" name="Picture 24"/>
            <wp:cNvGraphicFramePr>
              <a:graphicFrameLocks noChangeAspect="1"/>
            </wp:cNvGraphicFramePr>
            <a:graphic>
              <a:graphicData uri="http://schemas.openxmlformats.org/drawingml/2006/picture">
                <pic:pic>
                  <pic:nvPicPr>
                    <pic:cNvPr id="0" name="plot_07_passed_mass_vs_throughput.png"/>
                    <pic:cNvPicPr/>
                  </pic:nvPicPr>
                  <pic:blipFill>
                    <a:blip r:embed="rId32"/>
                    <a:stretch>
                      <a:fillRect/>
                    </a:stretch>
                  </pic:blipFill>
                  <pic:spPr>
                    <a:xfrm>
                      <a:off x="0" y="0"/>
                      <a:ext cx="5715000" cy="3706448"/>
                    </a:xfrm>
                    <a:prstGeom prst="rect"/>
                  </pic:spPr>
                </pic:pic>
              </a:graphicData>
            </a:graphic>
          </wp:inline>
        </w:drawing>
      </w:r>
    </w:p>
    <w:p>
      <w:pPr>
        <w:pStyle w:val="Heading1"/>
      </w:pPr>
      <w:r>
        <w:t>Interpretation of trends</w:t>
      </w:r>
    </w:p>
    <w:p>
      <w:r>
        <w:t>Several clear trends appear in this first-order model.</w:t>
      </w:r>
    </w:p>
    <w:p>
      <w:pPr>
        <w:pStyle w:val="ListBullet"/>
      </w:pPr>
      <w:r>
        <w:t>Increasing density increases the optical mass per static slice linearly because the optical volume is scaled by density.</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estimate, not necessarily an independent sampling mass.</w:t>
      </w:r>
    </w:p>
    <w:p>
      <w:pPr>
        <w:pStyle w:val="Heading3"/>
      </w:pPr>
      <w:r>
        <w:t>Why density cancels completely</w:t>
      </w:r>
    </w:p>
    <w:p>
      <w:r>
        <w:t>Density enters in two places that work in opposite directions with exactly equal magnitude. A higher density increases the static optical mass seen at one instant (more grams per cubic centimeter in the optical volume), but simultaneously reduces the superficial velocity in the same proportion (fewer cubic centimeters per second needed to deliver the same mass throughput). The larger mass per refresh and the smaller number of refreshes offset each other exactly.</w:t>
      </w:r>
    </w:p>
    <w:p>
      <w:r>
        <w:t>This complete cancellation is a direct consequence of the model structure. In a more realistic tilted-pipe model, density could re-enter through changes in flowing layer thickness, local wall velocity, consolidation, slip, or coverage dynamics.</w:t>
      </w:r>
    </w:p>
    <w:p>
      <w:pPr>
        <w:pStyle w:val="Heading1"/>
      </w:pPr>
      <w:r>
        <w:t>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tilt angle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1"/>
      </w:pPr>
      <w:r>
        <w:t>Conclusions</w:t>
      </w:r>
    </w:p>
    <w:p>
      <w:r>
        <w:t>This notebook estimates a first-order flow-based effective sample size estimate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plot_01_estimate_vs_penetration_depth.png</w:t>
      </w:r>
    </w:p>
    <w:p>
      <w:pPr>
        <w:pStyle w:val="ListBullet"/>
      </w:pPr>
      <w:r>
        <w:t>plot_02_estimate_vs_throughput.png</w:t>
      </w:r>
    </w:p>
    <w:p>
      <w:pPr>
        <w:pStyle w:val="ListBullet"/>
      </w:pPr>
      <w:r>
        <w:t>plot_03_heatmap_density_05.png</w:t>
      </w:r>
    </w:p>
    <w:p>
      <w:pPr>
        <w:pStyle w:val="ListBullet"/>
      </w:pPr>
      <w:r>
        <w:t>plot_04_superficial_velocity_vs_throughput.png</w:t>
      </w:r>
    </w:p>
    <w:p>
      <w:pPr>
        <w:pStyle w:val="ListBullet"/>
      </w:pPr>
      <w:r>
        <w:t>plot_05_optical_mass_per_refresh.png</w:t>
      </w:r>
    </w:p>
    <w:p>
      <w:pPr>
        <w:pStyle w:val="ListBullet"/>
      </w:pPr>
      <w:r>
        <w:t>plot_06_contour_density_06.png</w:t>
      </w:r>
    </w:p>
    <w:p>
      <w:pPr>
        <w:pStyle w:val="ListBullet"/>
      </w:pPr>
      <w:r>
        <w:t>plot_07_passed_mass_vs_throughput.png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