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20260326_144217</w:t>
      </w:r>
    </w:p>
    <w:p>
      <w:r>
        <w:t>Notebook filename: setup_D_pipe_effective_sample_size.ipynb</w:t>
      </w:r>
    </w:p>
    <w:p>
      <w:r>
        <w:t>Run directory: C:\temp files\EFS\reports\setup_d\20260326_144217</w:t>
      </w:r>
    </w:p>
    <w:p>
      <w:pPr>
        <w:pStyle w:val="Heading1"/>
      </w:pPr>
      <w:r>
        <w:t>Notebook Narrative</w:t>
      </w:r>
    </w:p>
    <w:p>
      <w:pPr>
        <w:pStyle w:val="Heading1"/>
      </w:pPr>
      <w:r>
        <w:t>Setup D: inclined pipe effective sample size estimate</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estimate during one spectrum acquisition.</w:t>
      </w:r>
    </w:p>
    <w:p>
      <w:r>
        <w:t>The result is best interpreted as a gross refreshed optical mass / effective sample size estimate.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Probe-flow geometry: perpendicular viewing</w:t>
      </w:r>
    </w:p>
    <w:p>
      <w:r>
        <w:t>In Setup D, the NIR probe is mounted in the pipe wall and looks radially inward — toward the center of the pipe. The powder, meanwhile, flows axially — along the length of the pipe. These two directions are perpendicular to each other.</w:t>
      </w:r>
    </w:p>
    <w:p>
      <w:r>
        <w:t>At any instant, the probe sees a shallow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direction sweeps fresh material laterally past the probe footprint, while the light penetrates in the radial direction — orthogonal to that motion.</w:t>
      </w:r>
    </w:p>
    <w:p>
      <w:r>
        <w:t>This perpendicular arrangement means three independent length scales govern the sampled volume during one acquisition:</w:t>
      </w:r>
    </w:p>
    <w:p>
      <w:r>
        <w:t>| Direction | Physical meaning | Length scale | |---|---|---| | Axial (along flow) | distance powder travels during acquisition | v * tacq | | Tangential (across flow, along wall) | probe footprint width | dprobe | | Radial (into powder, perpendicular to flow) | light penetration depth | d_pen |</w:t>
      </w:r>
    </w:p>
    <w:p>
      <w:r>
        <w:t>The total optically sampled region over the full acquisition is therefore not a cylinder — it is a thin ribbon pressed against the pipe wall, with width dprobe, length v * tacq, and depth d_pen.</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estimate,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estimate in mg</w:t>
      </w:r>
    </w:p>
    <w:p>
      <w:pPr>
        <w:pStyle w:val="Heading3"/>
      </w:pPr>
      <w:r>
        <w:t>Three orthogonal directions at the probe</w:t>
      </w:r>
    </w:p>
    <w:p>
      <w:r>
        <w:t>The probe is mounted in the pipe wall, looking radially inward. The powder flows axially past the probe. The model uses three perpendicular directions:</w:t>
      </w:r>
    </w:p>
    <w:p>
      <w:r>
        <w:t>| Direction | Symbol | Physical meaning | |---|---|---| | Axial (along flow) | Lslab = v * tacq | distance powder travels during acquisition | | Tangential (across flow, along wall) | dprobe | probe footprint width in the wall plane | | Radial (into powder, perpendicular to flow) | dpen | light penetration depth from wall into powder |</w:t>
      </w:r>
    </w:p>
    <w:p>
      <w:r>
        <w:t>At any single instant, the probe sees a thin disc of powder: face area = Aprobe (in the wall plane), depth = dpen (radially into the powder). Over the full acquisition, the axial flow sweeps fresh material past this disc, so the total optically sampled region is a thin ribbon pressed against the pipe wall:</w:t>
      </w:r>
    </w:p>
    <w:p>
      <w:pPr>
        <w:pStyle w:val="ListBullet"/>
      </w:pPr>
      <w:r>
        <w:t>width = d_probe (tangential, 5 mm)</w:t>
      </w:r>
    </w:p>
    <w:p>
      <w:pPr>
        <w:pStyle w:val="ListBullet"/>
      </w:pPr>
      <w:r>
        <w:t>length = v * t_acq (axial, along flow)</w:t>
      </w:r>
    </w:p>
    <w:p>
      <w:pPr>
        <w:pStyle w:val="ListBullet"/>
      </w:pPr>
      <w:r>
        <w:t>depth = d_pen (radial, into powder, 0.1–2.0 mm)</w:t>
      </w:r>
    </w:p>
    <w:p>
      <w:pPr>
        <w:pStyle w:val="Heading3"/>
      </w:pPr>
      <w:r>
        <w:t>Pipe and flow quantities</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1028112"/>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028112"/>
                    </a:xfrm>
                    <a:prstGeom prst="rect"/>
                  </pic:spPr>
                </pic:pic>
              </a:graphicData>
            </a:graphic>
          </wp:inline>
        </w:drawing>
      </w:r>
    </w:p>
    <w:p>
      <w:r>
        <w:t>This is the average axial velocity of the powder along the pipe. It is perpendicular to the probe viewing direction.</w:t>
      </w:r>
    </w:p>
    <w:p>
      <w:r>
        <w:t>Worked-example check (dotm = 95 kg/h, rho = 0.4 g/cm^3, d_pipe = 65 mm):</w:t>
      </w:r>
    </w:p>
    <w:p>
      <w:r>
        <w:t>| Step | Value | Unit | |---|---|---| | dotm | 95 x 1000 / 3600 = 26.3889 | g/s | | Apipe | pi (6.5/2)^2 = 33.1831 | cm² | | rho  Apipe | 0.4 x 33.1831 = 13.2732 | g/cm | | v = dotm / (rho  A_pipe) | 26.3889 / 13.2732 = 1.9882 | cm/s |</w:t>
      </w:r>
    </w:p>
    <w:p>
      <w:pPr>
        <w:pStyle w:val="Heading3"/>
      </w:pPr>
      <w:r>
        <w:t>Instantaneous optical volume (the static disc)</w:t>
      </w:r>
    </w:p>
    <w:p>
      <w:r>
        <w:t>The probe footprint area lies in the wall plane (tangential direction):</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The light penetrates in the radial direction, perpendicular to the flow. The optical volume at any single instant is a cylinder extending radially inward from the wall:</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pPr>
        <w:pStyle w:val="ListBullet"/>
      </w:pPr>
      <w:r>
        <w:t>A_probe spans the tangential plane (the wall)</w:t>
      </w:r>
    </w:p>
    <w:p>
      <w:pPr>
        <w:pStyle w:val="ListBullet"/>
      </w:pPr>
      <w:r>
        <w:t>d_pen extends in the radial direction (into the powder)</w:t>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pPr>
        <w:pStyle w:val="Heading3"/>
      </w:pPr>
      <w:r>
        <w:t>Refresh by axial flow</w:t>
      </w:r>
    </w:p>
    <w:p>
      <w:r>
        <w:t>The powder flows axially across the probe. The time for a slug of powder one probe diameter long to slide completely past the window is:</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Here d_probe is measured in the axial (flow) direction — the distance a parcel of powder must travel to completely replace the material in front of the probe.</w:t>
      </w:r>
    </w:p>
    <w:p>
      <w:r>
        <w:t>Number of complete replacements during one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pPr>
        <w:pStyle w:val="Heading3"/>
      </w:pPr>
      <w:r>
        <w:t>Effective sample size estimate</w:t>
      </w:r>
    </w:p>
    <w:p>
      <w:r>
        <w:t>Each refresh brings a new optical disc of mass m_opt. The total refreshed optical mass during one acquisition is:</w:t>
      </w:r>
    </w:p>
    <w:p>
      <w:r>
        <w:drawing>
          <wp:inline xmlns:a="http://schemas.openxmlformats.org/drawingml/2006/main" xmlns:pic="http://schemas.openxmlformats.org/drawingml/2006/picture">
            <wp:extent cx="5257800" cy="857250"/>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857250"/>
                    </a:xfrm>
                    <a:prstGeom prst="rect"/>
                  </pic:spPr>
                </pic:pic>
              </a:graphicData>
            </a:graphic>
          </wp:inline>
        </w:drawing>
      </w:r>
    </w:p>
    <w:p>
      <w:r>
        <w:t>Expanding all terms shows how the three directions combine:</w:t>
      </w:r>
    </w:p>
    <w:p>
      <w:r>
        <w:t>m_eff = underbracerho * A_probe * d_pen_substackmass of one disc \\ (tangential x radial) x underbracefracv * t_acqd_probe_substacknumber of refreshes \\ (axial distance / probe width)</w:t>
      </w:r>
    </w:p>
    <w:p>
      <w:r>
        <w:t>This can also be written as the mass of the thin ribbon:</w:t>
      </w:r>
    </w:p>
    <w:p>
      <w:r>
        <w:drawing>
          <wp:inline xmlns:a="http://schemas.openxmlformats.org/drawingml/2006/main" xmlns:pic="http://schemas.openxmlformats.org/drawingml/2006/picture">
            <wp:extent cx="5257800" cy="532715"/>
            <wp:docPr id="11" name="Picture 11"/>
            <wp:cNvGraphicFramePr>
              <a:graphicFrameLocks noChangeAspect="1"/>
            </wp:cNvGraphicFramePr>
            <a:graphic>
              <a:graphicData uri="http://schemas.openxmlformats.org/drawingml/2006/picture">
                <pic:pic>
                  <pic:nvPicPr>
                    <pic:cNvPr id="0" name="equation_011.png"/>
                    <pic:cNvPicPr/>
                  </pic:nvPicPr>
                  <pic:blipFill>
                    <a:blip r:embed="rId19"/>
                    <a:stretch>
                      <a:fillRect/>
                    </a:stretch>
                  </pic:blipFill>
                  <pic:spPr>
                    <a:xfrm>
                      <a:off x="0" y="0"/>
                      <a:ext cx="5257800" cy="532715"/>
                    </a:xfrm>
                    <a:prstGeom prst="rect"/>
                  </pic:spPr>
                </pic:pic>
              </a:graphicData>
            </a:graphic>
          </wp:inline>
        </w:drawing>
      </w:r>
    </w:p>
    <w:p>
      <w:r>
        <w:t>where the three spatial dimensions appear explicitly:</w:t>
      </w:r>
    </w:p>
    <w:p>
      <w:pPr>
        <w:pStyle w:val="ListBullet"/>
      </w:pPr>
      <w:r>
        <w:t>d_probe — tangential width (in the wall plane, perpendicular to flow)</w:t>
      </w:r>
    </w:p>
    <w:p>
      <w:pPr>
        <w:pStyle w:val="ListBullet"/>
      </w:pPr>
      <w:r>
        <w:t>v * t_acq — axial length (along flow)</w:t>
      </w:r>
    </w:p>
    <w:p>
      <w:pPr>
        <w:pStyle w:val="ListBullet"/>
      </w:pPr>
      <w:r>
        <w:t>d_pen — radial depth (into the powder, perpendicular to flow)</w:t>
      </w:r>
    </w:p>
    <w:p>
      <w:pPr>
        <w:pStyle w:val="Heading3"/>
      </w:pPr>
      <w:r>
        <w:t>Gross transported mass (reference quantity)</w:t>
      </w:r>
    </w:p>
    <w:p>
      <w:r>
        <w:t>The passed volume and passed mass represent the total volume and mass of powder that slides axially past the full probe window during one acquisition. This treats the probe footprint as a gate through which the entire column of powder (across the full probe diameter in the radial direction) passes:</w:t>
      </w:r>
    </w:p>
    <w:p>
      <w:r>
        <w:drawing>
          <wp:inline xmlns:a="http://schemas.openxmlformats.org/drawingml/2006/main" xmlns:pic="http://schemas.openxmlformats.org/drawingml/2006/picture">
            <wp:extent cx="5257800" cy="738060"/>
            <wp:docPr id="12" name="Picture 12"/>
            <wp:cNvGraphicFramePr>
              <a:graphicFrameLocks noChangeAspect="1"/>
            </wp:cNvGraphicFramePr>
            <a:graphic>
              <a:graphicData uri="http://schemas.openxmlformats.org/drawingml/2006/picture">
                <pic:pic>
                  <pic:nvPicPr>
                    <pic:cNvPr id="0" name="equation_012.png"/>
                    <pic:cNvPicPr/>
                  </pic:nvPicPr>
                  <pic:blipFill>
                    <a:blip r:embed="rId20"/>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3" name="Picture 13"/>
            <wp:cNvGraphicFramePr>
              <a:graphicFrameLocks noChangeAspect="1"/>
            </wp:cNvGraphicFramePr>
            <a:graphic>
              <a:graphicData uri="http://schemas.openxmlformats.org/drawingml/2006/picture">
                <pic:pic>
                  <pic:nvPicPr>
                    <pic:cNvPr id="0" name="equation_013.png"/>
                    <pic:cNvPicPr/>
                  </pic:nvPicPr>
                  <pic:blipFill>
                    <a:blip r:embed="rId21"/>
                    <a:stretch>
                      <a:fillRect/>
                    </a:stretch>
                  </pic:blipFill>
                  <pic:spPr>
                    <a:xfrm>
                      <a:off x="0" y="0"/>
                      <a:ext cx="5257800" cy="861262"/>
                    </a:xfrm>
                    <a:prstGeom prst="rect"/>
                  </pic:spPr>
                </pic:pic>
              </a:graphicData>
            </a:graphic>
          </wp:inline>
        </w:drawing>
      </w:r>
    </w:p>
    <w:p>
      <w:r>
        <w:t>This quantity does not account for the optical penetration depth. It includes all material that crosses the probe footprint in the axial direction, regardless of radial depth. The radial extent counted in Vpassed is implicitly dprobe (the full probe diameter), not d_pen.</w:t>
      </w:r>
    </w:p>
    <w:p>
      <w:pPr>
        <w:pStyle w:val="Heading3"/>
      </w:pPr>
      <w:r>
        <w:t>Relationship between meff and mpassed</w:t>
      </w:r>
    </w:p>
    <w:p>
      <w:r>
        <w:t>The effective sample size estimate is always smaller than the passed mass by the ratio of penetration depth to probe diameter:</w:t>
      </w:r>
    </w:p>
    <w:p>
      <w:r>
        <w:drawing>
          <wp:inline xmlns:a="http://schemas.openxmlformats.org/drawingml/2006/main" xmlns:pic="http://schemas.openxmlformats.org/drawingml/2006/picture">
            <wp:extent cx="5257800" cy="1277824"/>
            <wp:docPr id="14" name="Picture 14"/>
            <wp:cNvGraphicFramePr>
              <a:graphicFrameLocks noChangeAspect="1"/>
            </wp:cNvGraphicFramePr>
            <a:graphic>
              <a:graphicData uri="http://schemas.openxmlformats.org/drawingml/2006/picture">
                <pic:pic>
                  <pic:nvPicPr>
                    <pic:cNvPr id="0" name="equation_014.png"/>
                    <pic:cNvPicPr/>
                  </pic:nvPicPr>
                  <pic:blipFill>
                    <a:blip r:embed="rId22"/>
                    <a:stretch>
                      <a:fillRect/>
                    </a:stretch>
                  </pic:blipFill>
                  <pic:spPr>
                    <a:xfrm>
                      <a:off x="0" y="0"/>
                      <a:ext cx="5257800" cy="1277824"/>
                    </a:xfrm>
                    <a:prstGeom prst="rect"/>
                  </pic:spPr>
                </pic:pic>
              </a:graphicData>
            </a:graphic>
          </wp:inline>
        </w:drawing>
      </w:r>
    </w:p>
    <w:p>
      <w:r>
        <w:t>This ratio reflects the fact that the light only reaches a depth of dpen radially into the powder, while Vpassed counts powder across the full d_probe in the radial direction. The passed mass is a gross upper bound — the mass that would be optically relevant if the probe could see radially through its entire diameter.</w:t>
      </w:r>
    </w:p>
    <w:p>
      <w:r>
        <w:t>For the worked example (dpen = 1.0 mm, dprobe = 5.0 mm):</w:t>
      </w:r>
    </w:p>
    <w:p>
      <w:r>
        <w:drawing>
          <wp:inline xmlns:a="http://schemas.openxmlformats.org/drawingml/2006/main" xmlns:pic="http://schemas.openxmlformats.org/drawingml/2006/picture">
            <wp:extent cx="5257800" cy="1628155"/>
            <wp:docPr id="15" name="Picture 15"/>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1628155"/>
                    </a:xfrm>
                    <a:prstGeom prst="rect"/>
                  </pic:spPr>
                </pic:pic>
              </a:graphicData>
            </a:graphic>
          </wp:inline>
        </w:drawing>
      </w:r>
    </w:p>
    <w:p>
      <w:r>
        <w:t>so meff is 20% of mpassed.</w:t>
      </w:r>
    </w:p>
    <w:p>
      <w:r>
        <w:t>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 mechanistic explanation</w:t>
      </w:r>
    </w:p>
    <w:p>
      <w:r>
        <w:t>In this model, density enters in two places that work in opposite directions. The two effects have exactly equal magnitude and cancel each other.</w:t>
      </w:r>
    </w:p>
    <w:p>
      <w:r>
        <w:t>Effect 1 — more mass per snapshot. A denser powder packs more grams into the same optical cylinder in front of the probe. The static optical mass scales linearly with density:</w:t>
      </w:r>
    </w:p>
    <w:p>
      <w:r>
        <w:drawing>
          <wp:inline xmlns:a="http://schemas.openxmlformats.org/drawingml/2006/main" xmlns:pic="http://schemas.openxmlformats.org/drawingml/2006/picture">
            <wp:extent cx="5257800" cy="801403"/>
            <wp:docPr id="16" name="Picture 16"/>
            <wp:cNvGraphicFramePr>
              <a:graphicFrameLocks noChangeAspect="1"/>
            </wp:cNvGraphicFramePr>
            <a:graphic>
              <a:graphicData uri="http://schemas.openxmlformats.org/drawingml/2006/picture">
                <pic:pic>
                  <pic:nvPicPr>
                    <pic:cNvPr id="0" name="equation_016.png"/>
                    <pic:cNvPicPr/>
                  </pic:nvPicPr>
                  <pic:blipFill>
                    <a:blip r:embed="rId24"/>
                    <a:stretch>
                      <a:fillRect/>
                    </a:stretch>
                  </pic:blipFill>
                  <pic:spPr>
                    <a:xfrm>
                      <a:off x="0" y="0"/>
                      <a:ext cx="5257800" cy="801403"/>
                    </a:xfrm>
                    <a:prstGeom prst="rect"/>
                  </pic:spPr>
                </pic:pic>
              </a:graphicData>
            </a:graphic>
          </wp:inline>
        </w:drawing>
      </w:r>
    </w:p>
    <w:p>
      <w:r>
        <w:t>Doubling the density doubles the mass the probe sees at any instant.</w:t>
      </w:r>
    </w:p>
    <w:p>
      <w:r>
        <w:t>Effect 2 — slower flow, fewer refreshes. The pipe must deliver the same mass throughput dotm (in kg/h). If the powder is denser, fewer cubic centimeters per second are needed to carry that mass. The superficial velocity is inversely proportional to density:</w:t>
      </w:r>
    </w:p>
    <w:p>
      <w:r>
        <w:drawing>
          <wp:inline xmlns:a="http://schemas.openxmlformats.org/drawingml/2006/main" xmlns:pic="http://schemas.openxmlformats.org/drawingml/2006/picture">
            <wp:extent cx="5257800" cy="2422876"/>
            <wp:docPr id="17" name="Picture 17"/>
            <wp:cNvGraphicFramePr>
              <a:graphicFrameLocks noChangeAspect="1"/>
            </wp:cNvGraphicFramePr>
            <a:graphic>
              <a:graphicData uri="http://schemas.openxmlformats.org/drawingml/2006/picture">
                <pic:pic>
                  <pic:nvPicPr>
                    <pic:cNvPr id="0" name="equation_017.png"/>
                    <pic:cNvPicPr/>
                  </pic:nvPicPr>
                  <pic:blipFill>
                    <a:blip r:embed="rId25"/>
                    <a:stretch>
                      <a:fillRect/>
                    </a:stretch>
                  </pic:blipFill>
                  <pic:spPr>
                    <a:xfrm>
                      <a:off x="0" y="0"/>
                      <a:ext cx="5257800" cy="2422876"/>
                    </a:xfrm>
                    <a:prstGeom prst="rect"/>
                  </pic:spPr>
                </pic:pic>
              </a:graphicData>
            </a:graphic>
          </wp:inline>
        </w:drawing>
      </w:r>
    </w:p>
    <w:p>
      <w:r>
        <w:t>Doubling the density halves the velocity, which halves the number of probe-diameter crossings during the acquisition, and therefore halves the refresh count.</w:t>
      </w:r>
    </w:p>
    <w:p>
      <w:r>
        <w:t>Net result. Twice the mass per refresh multiplied by half as many refreshes gives the same total:</w:t>
      </w:r>
    </w:p>
    <w:p>
      <w:r>
        <w:t>m_eff = underbracerho * A_probe * d_pen_mass per refresh x underbracefract_acq * vd_probe_number of refreshes</w:t>
      </w:r>
    </w:p>
    <w:p>
      <w:r>
        <w:t>Substituting v = dotm/(rho A_pipe), the rho in the numerator from optical mass and the 1/rho from velocity cancel exactly:</w:t>
      </w:r>
    </w:p>
    <w:p>
      <w:r>
        <w:drawing>
          <wp:inline xmlns:a="http://schemas.openxmlformats.org/drawingml/2006/main" xmlns:pic="http://schemas.openxmlformats.org/drawingml/2006/picture">
            <wp:extent cx="5257800" cy="1230215"/>
            <wp:docPr id="18" name="Picture 18"/>
            <wp:cNvGraphicFramePr>
              <a:graphicFrameLocks noChangeAspect="1"/>
            </wp:cNvGraphicFramePr>
            <a:graphic>
              <a:graphicData uri="http://schemas.openxmlformats.org/drawingml/2006/picture">
                <pic:pic>
                  <pic:nvPicPr>
                    <pic:cNvPr id="0" name="equation_019.png"/>
                    <pic:cNvPicPr/>
                  </pic:nvPicPr>
                  <pic:blipFill>
                    <a:blip r:embed="rId26"/>
                    <a:stretch>
                      <a:fillRect/>
                    </a:stretch>
                  </pic:blipFill>
                  <pic:spPr>
                    <a:xfrm>
                      <a:off x="0" y="0"/>
                      <a:ext cx="5257800" cy="1230215"/>
                    </a:xfrm>
                    <a:prstGeom prst="rect"/>
                  </pic:spPr>
                </pic:pic>
              </a:graphicData>
            </a:graphic>
          </wp:inline>
        </w:drawing>
      </w:r>
    </w:p>
    <w:p>
      <w:r>
        <w:t>No rho remains. The effective sample size estimate depends only on mass throughput, geometry, and acquisition time.</w:t>
      </w:r>
    </w:p>
    <w:p>
      <w:r>
        <w:t>Physical intuition. The probe footprint acts as a small window in a pipe carrying a fixed mass flow. During one acquisition, a certain mass of powder is transported past that window. That transported mass depends on how much of the pipe's total mass flow is intercepted by the probe footprint (the geometric ratio Aprobe / Apipe), how long the acquisition lasts (tacq), and an optical depth scaling (dpen / dprobe). None of these involve density. Whether the stream is a slow trickle of dense material or a faster flow of light material, the mass flux through the probe window is the same because rho * v = dotm / Apipe depends only on throughput and pipe geometry.</w:t>
      </w:r>
    </w:p>
    <w:p>
      <w:r>
        <w:t>Why this is a model property, not a universal physical truth. The cancellation is exact only because the model assumes: (1) the full pipe cross-section carries flow uniformly, (2) density is spatially uniform, and (3) the velocity at the probe equals the cross-sectional average. In reality, density would re-enter through any of these mechanisms:</w:t>
      </w:r>
    </w:p>
    <w:p>
      <w:pPr>
        <w:pStyle w:val="ListBullet"/>
      </w:pPr>
      <w:r>
        <w:t>Filling fraction: a denser powder may fill a smaller cross-sectional fraction of the tilted pipe, changing A_flowing and therefore the actual local velocity.</w:t>
      </w:r>
    </w:p>
    <w:p>
      <w:pPr>
        <w:pStyle w:val="ListBullet"/>
      </w:pPr>
      <w:r>
        <w:t>Wall friction: denser powders may have different friction coefficients against the pipe wall, altering the local velocity where the probe sits.</w:t>
      </w:r>
    </w:p>
    <w:p>
      <w:pPr>
        <w:pStyle w:val="ListBullet"/>
      </w:pPr>
      <w:r>
        <w:t>Consolidation: denser powder may compact more under its own weight, creating a local density at the probe that differs from the bulk average.</w:t>
      </w:r>
    </w:p>
    <w:p>
      <w:pPr>
        <w:pStyle w:val="ListBullet"/>
      </w:pPr>
      <w:r>
        <w:t>Flow regime transitions: at extreme densities the flow could transition between sliding, rolling, and slug regimes, each with different renewal characteristics.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estimate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w:t>
      </w:r>
    </w:p>
    <w:p>
      <w:pPr>
        <w:pStyle w:val="ListBullet"/>
      </w:pPr>
      <w:r>
        <w:t>throughput = 95.0 kg/h</w:t>
      </w:r>
    </w:p>
    <w:p>
      <w:pPr>
        <w:pStyle w:val="ListBullet"/>
      </w:pPr>
      <w:r>
        <w:t>density = 0.4 g/cm³</w:t>
      </w:r>
    </w:p>
    <w:p>
      <w:pPr>
        <w:pStyle w:val="ListBullet"/>
      </w:pPr>
      <w:r>
        <w:t>pipe diameter = 65 mm</w:t>
      </w:r>
    </w:p>
    <w:p>
      <w:pPr>
        <w:pStyle w:val="ListBullet"/>
      </w:pPr>
      <w:r>
        <w:t>pipe tilt = 26.5 degrees from vertical</w:t>
      </w:r>
    </w:p>
    <w:p>
      <w:pPr>
        <w:pStyle w:val="ListBullet"/>
      </w:pPr>
      <w:r>
        <w:t>pipe total height = 340 mm</w:t>
      </w:r>
    </w:p>
    <w:p>
      <w:pPr>
        <w:pStyle w:val="ListBullet"/>
      </w:pPr>
      <w:r>
        <w:t>horizontal displacement = 100.2 mm</w:t>
      </w:r>
    </w:p>
    <w:p>
      <w:pPr>
        <w:pStyle w:val="ListBullet"/>
      </w:pPr>
      <w:r>
        <w:t>probe diameter = 5.0 mm</w:t>
      </w:r>
    </w:p>
    <w:p>
      <w:pPr>
        <w:pStyle w:val="ListBullet"/>
      </w:pPr>
      <w:r>
        <w:t>penetration depth = 1.0 mm</w:t>
      </w:r>
    </w:p>
    <w:p>
      <w:pPr>
        <w:pStyle w:val="ListBullet"/>
      </w:pPr>
      <w:r>
        <w:t>acquisition time = 1.8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3"/>
      </w:pPr>
      <w:r>
        <w:t>Computed results</w:t>
      </w:r>
    </w:p>
    <w:p>
      <w:pPr>
        <w:pStyle w:val="ListBullet"/>
      </w:pPr>
      <w:r>
        <w:t>Pipe cross-sectional area: 33.1831 cm²</w:t>
      </w:r>
    </w:p>
    <w:p>
      <w:pPr>
        <w:pStyle w:val="ListBullet"/>
      </w:pPr>
      <w:r>
        <w:t>Throughput: 26.3889 g/s</w:t>
      </w:r>
    </w:p>
    <w:p>
      <w:pPr>
        <w:pStyle w:val="ListBullet"/>
      </w:pPr>
      <w:r>
        <w:t>Superficial velocity: 1.9881 cm/s</w:t>
      </w:r>
    </w:p>
    <w:p>
      <w:pPr>
        <w:pStyle w:val="ListBullet"/>
      </w:pPr>
      <w:r>
        <w:t>Probe area: 0.196350 cm²</w:t>
      </w:r>
    </w:p>
    <w:p>
      <w:pPr>
        <w:pStyle w:val="ListBullet"/>
      </w:pPr>
      <w:r>
        <w:t>Optical volume per static slice: 0.019635 cm³</w:t>
      </w:r>
    </w:p>
    <w:p>
      <w:pPr>
        <w:pStyle w:val="ListBullet"/>
      </w:pPr>
      <w:r>
        <w:t>Optical mass per static slice: 7.8540 mg</w:t>
      </w:r>
    </w:p>
    <w:p>
      <w:pPr>
        <w:pStyle w:val="ListBullet"/>
      </w:pPr>
      <w:r>
        <w:t>Crossing time: 0.2515 s</w:t>
      </w:r>
    </w:p>
    <w:p>
      <w:pPr>
        <w:pStyle w:val="ListBullet"/>
      </w:pPr>
      <w:r>
        <w:t>Number of refreshes: 7.1573</w:t>
      </w:r>
    </w:p>
    <w:p>
      <w:pPr>
        <w:pStyle w:val="ListBullet"/>
      </w:pPr>
      <w:r>
        <w:t>Effective sample size estimate: 56.2130 mg</w:t>
      </w:r>
    </w:p>
    <w:p>
      <w:pPr>
        <w:pStyle w:val="ListBullet"/>
      </w:pPr>
      <w:r>
        <w:t>Passed volume during acquisition: 0.702663 cm³</w:t>
      </w:r>
    </w:p>
    <w:p>
      <w:pPr>
        <w:pStyle w:val="ListBullet"/>
      </w:pPr>
      <w:r>
        <w:t>Passed mass during acquisition: 281.0651 mg</w:t>
      </w:r>
    </w:p>
    <w:p>
      <w:pPr>
        <w:pStyle w:val="Heading1"/>
      </w:pPr>
      <w:r>
        <w:t>Parameter sweep</w:t>
      </w:r>
    </w:p>
    <w:p>
      <w:r>
        <w:t>The full parameter sweep spans:</w:t>
      </w:r>
    </w:p>
    <w:p>
      <w:pPr>
        <w:pStyle w:val="ListBullet"/>
      </w:pPr>
      <w:r>
        <w:t>throughput from 40 to 100 kg/h in 5 kg/h steps</w:t>
      </w:r>
    </w:p>
    <w:p>
      <w:pPr>
        <w:pStyle w:val="ListBullet"/>
      </w:pPr>
      <w:r>
        <w:t>density = 0.4, 0.5, 0.6 g/cm³</w:t>
      </w:r>
    </w:p>
    <w:p>
      <w:pPr>
        <w:pStyle w:val="ListBullet"/>
      </w:pPr>
      <w:r>
        <w:t>penetration depth from 0.1 to 2.0 mm in 0.1 mm steps</w:t>
      </w:r>
    </w:p>
    <w:p>
      <w:pPr>
        <w:pStyle w:val="ListBullet"/>
      </w:pPr>
      <w:r>
        <w:t>probe diameter fixed at 5.0 mm</w:t>
      </w:r>
    </w:p>
    <w:p>
      <w:pPr>
        <w:pStyle w:val="ListBullet"/>
      </w:pPr>
      <w:r>
        <w:t>acquisition time fixed at 1.8 s</w:t>
      </w:r>
    </w:p>
    <w:p>
      <w:r>
        <w:t>Generated 780 modeled scenarios.</w:t>
      </w:r>
    </w:p>
    <w:p>
      <w:pPr>
        <w:pStyle w:val="Heading1"/>
      </w:pPr>
      <w:r>
        <w:t>Visualization</w:t>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1_estimate_vs_penetration_depth.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0" name="Picture 20"/>
            <wp:cNvGraphicFramePr>
              <a:graphicFrameLocks noChangeAspect="1"/>
            </wp:cNvGraphicFramePr>
            <a:graphic>
              <a:graphicData uri="http://schemas.openxmlformats.org/drawingml/2006/picture">
                <pic:pic>
                  <pic:nvPicPr>
                    <pic:cNvPr id="0" name="plot_02_estimate_vs_throughput.png"/>
                    <pic:cNvPicPr/>
                  </pic:nvPicPr>
                  <pic:blipFill>
                    <a:blip r:embed="rId28"/>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1" name="Picture 21"/>
            <wp:cNvGraphicFramePr>
              <a:graphicFrameLocks noChangeAspect="1"/>
            </wp:cNvGraphicFramePr>
            <a:graphic>
              <a:graphicData uri="http://schemas.openxmlformats.org/drawingml/2006/picture">
                <pic:pic>
                  <pic:nvPicPr>
                    <pic:cNvPr id="0" name="plot_03_heatmap_density_05.png"/>
                    <pic:cNvPicPr/>
                  </pic:nvPicPr>
                  <pic:blipFill>
                    <a:blip r:embed="rId29"/>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30"/>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3" name="Picture 23"/>
            <wp:cNvGraphicFramePr>
              <a:graphicFrameLocks noChangeAspect="1"/>
            </wp:cNvGraphicFramePr>
            <a:graphic>
              <a:graphicData uri="http://schemas.openxmlformats.org/drawingml/2006/picture">
                <pic:pic>
                  <pic:nvPicPr>
                    <pic:cNvPr id="0" name="plot_05_optical_mass_per_refresh.png"/>
                    <pic:cNvPicPr/>
                  </pic:nvPicPr>
                  <pic:blipFill>
                    <a:blip r:embed="rId31"/>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4" name="Picture 24"/>
            <wp:cNvGraphicFramePr>
              <a:graphicFrameLocks noChangeAspect="1"/>
            </wp:cNvGraphicFramePr>
            <a:graphic>
              <a:graphicData uri="http://schemas.openxmlformats.org/drawingml/2006/picture">
                <pic:pic>
                  <pic:nvPicPr>
                    <pic:cNvPr id="0" name="plot_06_contour_density_06.png"/>
                    <pic:cNvPicPr/>
                  </pic:nvPicPr>
                  <pic:blipFill>
                    <a:blip r:embed="rId32"/>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5" name="Picture 25"/>
            <wp:cNvGraphicFramePr>
              <a:graphicFrameLocks noChangeAspect="1"/>
            </wp:cNvGraphicFramePr>
            <a:graphic>
              <a:graphicData uri="http://schemas.openxmlformats.org/drawingml/2006/picture">
                <pic:pic>
                  <pic:nvPicPr>
                    <pic:cNvPr id="0" name="plot_07_passed_mass_vs_throughput.png"/>
                    <pic:cNvPicPr/>
                  </pic:nvPicPr>
                  <pic:blipFill>
                    <a:blip r:embed="rId33"/>
                    <a:stretch>
                      <a:fillRect/>
                    </a:stretch>
                  </pic:blipFill>
                  <pic:spPr>
                    <a:xfrm>
                      <a:off x="0" y="0"/>
                      <a:ext cx="5715000" cy="3706448"/>
                    </a:xfrm>
                    <a:prstGeom prst="rect"/>
                  </pic:spPr>
                </pic:pic>
              </a:graphicData>
            </a:graphic>
          </wp:inline>
        </w:drawing>
      </w:r>
    </w:p>
    <w:p>
      <w:pPr>
        <w:pStyle w:val="Heading1"/>
      </w:pPr>
      <w:r>
        <w:t>Interpretation of trends</w:t>
      </w:r>
    </w:p>
    <w:p>
      <w:r>
        <w:t>Several clear trends appear in this first-order model.</w:t>
      </w:r>
    </w:p>
    <w:p>
      <w:pPr>
        <w:pStyle w:val="ListBullet"/>
      </w:pPr>
      <w:r>
        <w:t>Increasing density increases the optical mass per static slice linearly because the optical volume is scaled by density.</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w:t>
      </w:r>
    </w:p>
    <w:p>
      <w:r>
        <w:t>Density enters in two places that work in opposite directions with exactly equal magnitude. A higher density increases the static optical mass seen at one instant (more grams per cubic centimeter in the optical volume), but simultaneously reduces the superficial velocity in the same proportion (fewer cubic centimeters per second needed to deliver the same mass throughput). The larger mass per refresh and the smaller number of refreshes offset each other exactly.</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1"/>
      </w:pPr>
      <w:r>
        <w:t>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tilt angle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1"/>
      </w:pPr>
      <w:r>
        <w:t>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plot_01_estimate_vs_penetration_depth.png</w:t>
      </w:r>
    </w:p>
    <w:p>
      <w:pPr>
        <w:pStyle w:val="ListBullet"/>
      </w:pPr>
      <w:r>
        <w:t>plot_02_estimate_vs_throughput.png</w:t>
      </w:r>
    </w:p>
    <w:p>
      <w:pPr>
        <w:pStyle w:val="ListBullet"/>
      </w:pPr>
      <w:r>
        <w:t>plot_03_heatmap_density_05.png</w:t>
      </w:r>
    </w:p>
    <w:p>
      <w:pPr>
        <w:pStyle w:val="ListBullet"/>
      </w:pPr>
      <w:r>
        <w:t>plot_04_superficial_velocity_vs_throughput.png</w:t>
      </w:r>
    </w:p>
    <w:p>
      <w:pPr>
        <w:pStyle w:val="ListBullet"/>
      </w:pPr>
      <w:r>
        <w:t>plot_05_optical_mass_per_refresh.png</w:t>
      </w:r>
    </w:p>
    <w:p>
      <w:pPr>
        <w:pStyle w:val="ListBullet"/>
      </w:pPr>
      <w:r>
        <w:t>plot_06_contour_density_06.png</w:t>
      </w:r>
    </w:p>
    <w:p>
      <w:pPr>
        <w:pStyle w:val="ListBullet"/>
      </w:pPr>
      <w:r>
        <w:t>plot_07_passed_mass_vs_throughput.png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