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B Effective Sample Size Report</w:t>
      </w:r>
    </w:p>
    <w:p>
      <w:pPr>
        <w:pStyle w:val="Heading1"/>
      </w:pPr>
      <w:r>
        <w:t>Run Metadata</w:t>
      </w:r>
    </w:p>
    <w:p>
      <w:r>
        <w:t>Setup name: setup_b</w:t>
      </w:r>
    </w:p>
    <w:p>
      <w:r>
        <w:t>Run timestamp: 20260315_214727</w:t>
      </w:r>
    </w:p>
    <w:p>
      <w:r>
        <w:t>Notebook filename: setup_B_spoon_effective_sample_size.ipynb</w:t>
      </w:r>
    </w:p>
    <w:p>
      <w:r>
        <w:t>Run directory: C:\Users\Erik\Documents\Projects\EFS\reports\setup_b\20260315_214727</w:t>
      </w:r>
    </w:p>
    <w:p>
      <w:pPr>
        <w:pStyle w:val="Heading1"/>
      </w:pPr>
      <w:r>
        <w:t>Notebook Narrative</w:t>
      </w:r>
    </w:p>
    <w:p>
      <w:pPr>
        <w:pStyle w:val="Heading1"/>
      </w:pPr>
      <w:r>
        <w:t>Setup B -- Effective Sample Size for Spoon-Based NIR Measurement</w:t>
      </w:r>
    </w:p>
    <w:p>
      <w:r>
        <w:t>Independent spoon samples measured as repeated static optical measurements during one spectral acquisition</w:t>
      </w:r>
    </w:p>
    <w:p>
      <w:pPr>
        <w:pStyle w:val="Heading2"/>
      </w:pPr>
      <w:r>
        <w:t>Background</w:t>
      </w:r>
    </w:p>
    <w:p>
      <w:r>
        <w:t>Setup B represents a spoon or flip-sampler interface where powder originates from a flowing process stream, is captured in a spoon, and is measured by the NIR probe while static during each spoon presentation.</w:t>
      </w:r>
    </w:p>
    <w:p>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pPr>
        <w:pStyle w:val="Heading2"/>
      </w:pPr>
      <w:r>
        <w:t>Objective</w:t>
      </w:r>
    </w:p>
    <w:p>
      <w:r>
        <w:t>This notebook simulates Setup B effective sample size by quantifying:</w:t>
      </w:r>
    </w:p>
    <w:p>
      <w:pPr>
        <w:pStyle w:val="ListBullet"/>
      </w:pPr>
      <w:r>
        <w:t>static optical sampled mass per spoon</w:t>
      </w:r>
    </w:p>
    <w:p>
      <w:pPr>
        <w:pStyle w:val="ListBullet"/>
      </w:pPr>
      <w:r>
        <w:t>number of spoon samples contributing during one spectrum</w:t>
      </w:r>
    </w:p>
    <w:p>
      <w:pPr>
        <w:pStyle w:val="ListBullet"/>
      </w:pPr>
      <w:r>
        <w:t>effective sampled mass per spectrum</w:t>
      </w:r>
    </w:p>
    <w:p>
      <w:r>
        <w:t>as functions of penetration depth, bulk density, flip frequency, and acquisition settings.</w:t>
      </w:r>
    </w:p>
    <w:p>
      <w:pPr>
        <w:pStyle w:val="Heading2"/>
      </w:pPr>
      <w:r>
        <w:t>Theory</w:t>
      </w:r>
    </w:p>
    <w:p>
      <w:r>
        <w:t>For one spoon presentation (static measurement):</w:t>
      </w:r>
    </w:p>
    <w:p>
      <w:r>
        <w:t>A_probe = pi\(\fracD_probe2\)^2</w:t>
      </w:r>
    </w:p>
    <w:p>
      <w:r>
        <w:t>V_static \ approx A_probe\ d_pen</w:t>
      </w:r>
    </w:p>
    <w:p>
      <w:r>
        <w:t>m_static = rho_bulk\ V_static</w:t>
      </w:r>
    </w:p>
    <w:p>
      <w:r>
        <w:t>Acquisition timing:</w:t>
      </w:r>
    </w:p>
    <w:p>
      <w:r>
        <w:t>t_acq = N_subscans\ t_int</w:t>
      </w:r>
    </w:p>
    <w:p>
      <w:r>
        <w:t>t_spoon = \frac1f_flip</w:t>
      </w:r>
    </w:p>
    <w:p>
      <w:r>
        <w:t>N_spoons = t_acq\ f_flip</w:t>
      </w:r>
    </w:p>
    <w:p>
      <w:r>
        <w:t>Effective sampled mass during one reported spectrum:</w:t>
      </w:r>
    </w:p>
    <w:p>
      <w:r>
        <w:t>m_eff = m_static\ N_spoons</w:t>
      </w:r>
    </w:p>
    <w:p>
      <w:r>
        <w:t>Symbol definitions and units:</w:t>
      </w:r>
    </w:p>
    <w:p>
      <w:pPr>
        <w:pStyle w:val="ListBullet"/>
      </w:pPr>
      <w:r>
        <w:t>D_probe: probe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V_static: static sampled volume per spoon [m^3]</w:t>
      </w:r>
    </w:p>
    <w:p>
      <w:pPr>
        <w:pStyle w:val="ListBullet"/>
      </w:pPr>
      <w:r>
        <w:t>m_static: static sampled mass per spoon [kg]</w:t>
      </w:r>
    </w:p>
    <w:p>
      <w:pPr>
        <w:pStyle w:val="ListBullet"/>
      </w:pPr>
      <w:r>
        <w:t>N_subscans: number of averaged sub-scans [-]</w:t>
      </w:r>
    </w:p>
    <w:p>
      <w:pPr>
        <w:pStyle w:val="ListBullet"/>
      </w:pPr>
      <w:r>
        <w:t>t_int: integration time per sub-scan [s]</w:t>
      </w:r>
    </w:p>
    <w:p>
      <w:pPr>
        <w:pStyle w:val="ListBullet"/>
      </w:pPr>
      <w:r>
        <w:t>t_acq: total acquisition time [s]</w:t>
      </w:r>
    </w:p>
    <w:p>
      <w:pPr>
        <w:pStyle w:val="ListBullet"/>
      </w:pPr>
      <w:r>
        <w:t>f_flip: spoon flipping frequency [Hz]</w:t>
      </w:r>
    </w:p>
    <w:p>
      <w:pPr>
        <w:pStyle w:val="ListBullet"/>
      </w:pPr>
      <w:r>
        <w:t>t_spoon: spoon interval [s]</w:t>
      </w:r>
    </w:p>
    <w:p>
      <w:pPr>
        <w:pStyle w:val="ListBullet"/>
      </w:pPr>
      <w:r>
        <w:t>N_spoons: spoon samples contributing during one acquisition [-]</w:t>
      </w:r>
    </w:p>
    <w:p>
      <w:pPr>
        <w:pStyle w:val="ListBullet"/>
      </w:pPr>
      <w:r>
        <w:t>m_eff: effective sampled mass per spectrum [kg]</w:t>
      </w:r>
    </w:p>
    <w:p>
      <w:pPr>
        <w:pStyle w:val="Heading2"/>
      </w:pPr>
      <w:r>
        <w:t>Interpretation of the Model</w:t>
      </w:r>
    </w:p>
    <w:p>
      <w:r>
        <w:t>In this setup, one spoon presentation is one independent static optical sample. If acquisition time spans multiple spoon presentations, the reported spectrum integrates multiple independent increments.</w:t>
      </w:r>
    </w:p>
    <w:p>
      <w:r>
        <w:t>In this notebook, N_spoons is allowed to be non-integer as a deterministic first approximation for effective mass scaling. Under the stated assumptions, throughput is not explicitly modeled.</w:t>
      </w:r>
    </w:p>
    <w:p>
      <w:pPr>
        <w:pStyle w:val="Heading2"/>
      </w:pPr>
      <w:r>
        <w:t>Assumptions</w:t>
      </w:r>
    </w:p>
    <w:p>
      <w:pPr>
        <w:pStyle w:val="ListBullet"/>
      </w:pPr>
      <w:r>
        <w:t>spoon always completely filled</w:t>
      </w:r>
    </w:p>
    <w:p>
      <w:pPr>
        <w:pStyle w:val="ListBullet"/>
      </w:pPr>
      <w:r>
        <w:t>filling is reproducible</w:t>
      </w:r>
    </w:p>
    <w:p>
      <w:pPr>
        <w:pStyle w:val="ListBullet"/>
      </w:pPr>
      <w:r>
        <w:t>consecutive spoons are independent</w:t>
      </w:r>
    </w:p>
    <w:p>
      <w:pPr>
        <w:pStyle w:val="ListBullet"/>
      </w:pPr>
      <w:r>
        <w:t>powder is static during each spoon measurement</w:t>
      </w:r>
    </w:p>
    <w:p>
      <w:pPr>
        <w:pStyle w:val="ListBullet"/>
      </w:pPr>
      <w:r>
        <w:t>circular probe window</w:t>
      </w:r>
    </w:p>
    <w:p>
      <w:pPr>
        <w:pStyle w:val="ListBullet"/>
      </w:pPr>
      <w:r>
        <w:t>cylindrical optical interaction volume approximation</w:t>
      </w:r>
    </w:p>
    <w:p>
      <w:pPr>
        <w:pStyle w:val="ListBullet"/>
      </w:pPr>
      <w:r>
        <w:t>uniform bulk density</w:t>
      </w:r>
    </w:p>
    <w:p>
      <w:pPr>
        <w:pStyle w:val="ListBullet"/>
      </w:pPr>
      <w:r>
        <w:t>no resampling within a spoon</w:t>
      </w:r>
    </w:p>
    <w:p>
      <w:pPr>
        <w:pStyle w:val="ListBullet"/>
      </w:pPr>
      <w:r>
        <w:t>no segregation correction</w:t>
      </w:r>
    </w:p>
    <w:p>
      <w:pPr>
        <w:pStyle w:val="ListBullet"/>
      </w:pPr>
      <w:r>
        <w:t>no stochastic independence correction</w:t>
      </w:r>
    </w:p>
    <w:p>
      <w:pPr>
        <w:pStyle w:val="ListBullet"/>
      </w:pPr>
      <w:r>
        <w:t>no detailed radiative transfer model yet</w:t>
      </w:r>
    </w:p>
    <w:p>
      <w:pPr>
        <w:pStyle w:val="Heading2"/>
      </w:pPr>
      <w:r>
        <w:t>Input Parameters</w:t>
      </w:r>
    </w:p>
    <w:p>
      <w:r>
        <w:t>Baseline optical, acquisition, and spoon-frequency settings are defined below. SI units are used internally, while engineering units are kept in labels and summary tables for readability.</w:t>
      </w:r>
    </w:p>
    <w:p>
      <w:pPr>
        <w:pStyle w:val="Heading2"/>
      </w:pPr>
      <w:r>
        <w:t>Interpretation of Simulation Table</w:t>
      </w:r>
    </w:p>
    <w:p>
      <w:r>
        <w:t>Each row represents one parameter combination of penetration depth, bulk density, and time between spoon flips.</w:t>
      </w:r>
    </w:p>
    <w:p>
      <w:pPr>
        <w:pStyle w:val="ListBullet"/>
      </w:pPr>
      <w:r>
        <w:t>staticsampledmass_mg is the per-spoon static optical sampled mass.</w:t>
      </w:r>
    </w:p>
    <w:p>
      <w:pPr>
        <w:pStyle w:val="ListBullet"/>
      </w:pPr>
      <w:r>
        <w:t>spoons_contributing is the deterministic estimate of spoon presentations during one spectrum.</w:t>
      </w:r>
    </w:p>
    <w:p>
      <w:pPr>
        <w:pStyle w:val="ListBullet"/>
      </w:pPr>
      <w:r>
        <w:t>effectivesampledmass_mg is the scaled effective sampled mass per spectrum under independent spoon assumptions.</w:t>
      </w:r>
    </w:p>
    <w:p>
      <w:pPr>
        <w:pStyle w:val="Heading2"/>
      </w:pPr>
      <w:r>
        <w:t>Plot 1: Static Sampled Volume per Spoon vs Penetration Depth</w:t>
      </w:r>
    </w:p>
    <w:p>
      <w:r>
        <w:t>This plot shows static sampled volume per spoon as a function of penetration depth for the cylindrical first-generation optical approximation.</w:t>
      </w:r>
    </w:p>
    <w:p>
      <w:pPr>
        <w:pStyle w:val="Heading2"/>
      </w:pPr>
      <w:r>
        <w:t>Plot 2: Static Sample Mass per Spoon (Representative Depth)</w:t>
      </w:r>
    </w:p>
    <w:p>
      <w:r>
        <w:t>This plot shows static sample mass per spoon (mg) for bulk densities 0.4, 0.5, and 0.6 g/cm^3, using the Setup B spoon geometry at a representative penetration depth of 1.0 mm.</w:t>
      </w:r>
    </w:p>
    <w:p>
      <w:pPr>
        <w:pStyle w:val="Heading2"/>
      </w:pPr>
      <w:r>
        <w:t>Plot 3: Spoons Contributing per Spectrum vs Spoon Flip Interval</w:t>
      </w:r>
    </w:p>
    <w:p>
      <w:r>
        <w:t>This plot shows how the number of spoon presentations contributing to one spectrum changes with time between spoon flips.</w:t>
      </w:r>
    </w:p>
    <w:p>
      <w:pPr>
        <w:pStyle w:val="Heading2"/>
      </w:pPr>
      <w:r>
        <w:t>Results Interpretation</w:t>
      </w:r>
    </w:p>
    <w:p>
      <w:pPr>
        <w:pStyle w:val="ListBullet"/>
      </w:pPr>
      <w:r>
        <w:t>Plot 2 shows static sample mass per spoon for three representative bulk densities: 0.4, 0.5, and 0.6 g/cm^3</w:t>
      </w:r>
    </w:p>
    <w:p>
      <w:pPr>
        <w:pStyle w:val="ListBullet"/>
      </w:pPr>
      <w:r>
        <w:t>Plot 4 uses only representative bulk density 0.5 g/cm^3</w:t>
      </w:r>
    </w:p>
    <w:p>
      <w:pPr>
        <w:pStyle w:val="ListBullet"/>
      </w:pPr>
      <w:r>
        <w:t>Plot 4 x-axis is time between spoon flips (s), not flip frequency (Hz)</w:t>
      </w:r>
    </w:p>
    <w:p>
      <w:pPr>
        <w:pStyle w:val="ListBullet"/>
      </w:pPr>
      <w:r>
        <w:t>shorter spoon intervals produce more independent spoon presentations during acquisition, increasing effective sample size</w:t>
      </w:r>
    </w:p>
    <w:p>
      <w:pPr>
        <w:pStyle w:val="Heading2"/>
      </w:pPr>
      <w:r>
        <w:t>Limitations</w:t>
      </w:r>
    </w:p>
    <w:p>
      <w:pPr>
        <w:pStyle w:val="ListBullet"/>
      </w:pPr>
      <w:r>
        <w:t>independence between spoons is assumed</w:t>
      </w:r>
    </w:p>
    <w:p>
      <w:pPr>
        <w:pStyle w:val="ListBullet"/>
      </w:pPr>
      <w:r>
        <w:t>complete and reproducible filling is assumed</w:t>
      </w:r>
    </w:p>
    <w:p>
      <w:pPr>
        <w:pStyle w:val="ListBullet"/>
      </w:pPr>
      <w:r>
        <w:t>no explicit throughput effect is included</w:t>
      </w:r>
    </w:p>
    <w:p>
      <w:pPr>
        <w:pStyle w:val="ListBullet"/>
      </w:pPr>
      <w:r>
        <w:t>no dynamic filling physics is modeled</w:t>
      </w:r>
    </w:p>
    <w:p>
      <w:pPr>
        <w:pStyle w:val="ListBullet"/>
      </w:pPr>
      <w:r>
        <w:t>no partial spoon overlap model is included</w:t>
      </w:r>
    </w:p>
    <w:p>
      <w:pPr>
        <w:pStyle w:val="ListBullet"/>
      </w:pPr>
      <w:r>
        <w:t>no integer/discrete spoon capture model is enforced</w:t>
      </w:r>
    </w:p>
    <w:p>
      <w:pPr>
        <w:pStyle w:val="ListBullet"/>
      </w:pPr>
      <w:r>
        <w:t>no optical weighting correction yet</w:t>
      </w:r>
    </w:p>
    <w:p>
      <w:pPr>
        <w:pStyle w:val="Heading2"/>
      </w:pPr>
      <w:r>
        <w:t>Next logical extensions</w:t>
      </w:r>
    </w:p>
    <w:p>
      <w:pPr>
        <w:pStyle w:val="ListBullet"/>
      </w:pPr>
      <w:r>
        <w:t>enforce integer spoon counting or partial spoon weighting</w:t>
      </w:r>
    </w:p>
    <w:p>
      <w:pPr>
        <w:pStyle w:val="ListBullet"/>
      </w:pPr>
      <w:r>
        <w:t>include incomplete filling scenarios</w:t>
      </w:r>
    </w:p>
    <w:p>
      <w:pPr>
        <w:pStyle w:val="ListBullet"/>
      </w:pPr>
      <w:r>
        <w:t>include non-independent spoons</w:t>
      </w:r>
    </w:p>
    <w:p>
      <w:pPr>
        <w:pStyle w:val="ListBullet"/>
      </w:pPr>
      <w:r>
        <w:t>include spoon geometry explicitly</w:t>
      </w:r>
    </w:p>
    <w:p>
      <w:pPr>
        <w:pStyle w:val="ListBullet"/>
      </w:pPr>
      <w:r>
        <w:t>include particle count estimation</w:t>
      </w:r>
    </w:p>
    <w:p>
      <w:pPr>
        <w:pStyle w:val="ListBullet"/>
      </w:pPr>
      <w:r>
        <w:t>include uncertainty in penetration depth and bulk density</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B estimates effective sampled mass per spectrum by combining static optical mass per spoon with the deterministic number of spoon presentations during one spectral acquisition.</w:t>
      </w:r>
    </w:p>
    <w:p>
      <w:pPr>
        <w:pStyle w:val="Heading1"/>
      </w:pPr>
      <w:r>
        <w:t>Assumptions</w:t>
      </w:r>
    </w:p>
    <w:p>
      <w:r>
        <w:t>Each spoon presentation is treated as an independent static optical event, spoon filling is reproducible, and effective sample size scales with flip frequency over the acquisition window.</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ListBullet"/>
      </w:pPr>
      <w:r>
        <w:t>Subscans: 256</w:t>
      </w:r>
    </w:p>
    <w:p>
      <w:pPr>
        <w:pStyle w:val="ListBullet"/>
      </w:pPr>
      <w:r>
        <w:t>Integration time (ms): 15</w:t>
      </w:r>
    </w:p>
    <w:p>
      <w:pPr>
        <w:pStyle w:val="ListBullet"/>
      </w:pPr>
      <w:r>
        <w:t>Acquisition time (s): 3.84</w:t>
      </w:r>
    </w:p>
    <w:p>
      <w:pPr>
        <w:pStyle w:val="ListBullet"/>
      </w:pPr>
      <w:r>
        <w:t>Spoon intervals (s): 1, 2, 3, 4, 5</w:t>
      </w:r>
    </w:p>
    <w:p>
      <w:pPr>
        <w:pStyle w:val="Heading1"/>
      </w:pPr>
      <w:r>
        <w:t>Exported CSV Files</w:t>
      </w:r>
    </w:p>
    <w:p>
      <w:pPr>
        <w:pStyle w:val="ListBullet"/>
      </w:pPr>
      <w:r>
        <w:t>results_full.csv</w:t>
      </w:r>
    </w:p>
    <w:p>
      <w:pPr>
        <w:pStyle w:val="ListBullet"/>
      </w:pPr>
      <w:r>
        <w:t>summary_table.csv</w:t>
      </w:r>
    </w:p>
    <w:p>
      <w:pPr>
        <w:pStyle w:val="ListBullet"/>
      </w:pPr>
      <w:r>
        <w:t>input_summary.csv</w:t>
      </w:r>
    </w:p>
    <w:p>
      <w:pPr>
        <w:pStyle w:val="ListBullet"/>
      </w:pPr>
      <w:r>
        <w:t>flip_summary.csv</w:t>
      </w:r>
    </w:p>
    <w:p>
      <w:pPr>
        <w:pStyle w:val="ListBullet"/>
      </w:pPr>
      <w:r>
        <w:t>plot2_static_sample_mass_table.csv</w:t>
      </w:r>
    </w:p>
    <w:p>
      <w:pPr>
        <w:pStyle w:val="ListBullet"/>
      </w:pPr>
      <w:r>
        <w:t>plot4_spoon_interval_effect_table.csv</w:t>
      </w:r>
    </w:p>
    <w:p>
      <w:pPr>
        <w:pStyle w:val="ListBullet"/>
      </w:pPr>
      <w:r>
        <w:t>selected_depths_interval_table.csv</w:t>
      </w:r>
    </w:p>
    <w:p>
      <w:r>
        <w:t>Detailed tables are saved separately as CSV files in the run folder.</w:t>
      </w:r>
    </w:p>
    <w:p>
      <w:pPr>
        <w:pStyle w:val="Heading1"/>
      </w:pPr>
      <w:r>
        <w:t>Figures</w:t>
      </w:r>
    </w:p>
    <w:p>
      <w:pPr>
        <w:pStyle w:val="ListBullet"/>
      </w:pPr>
      <w:r>
        <w:t>plot_01_static_sampled_volume_per_spoon.png</w:t>
      </w:r>
    </w:p>
    <w:p>
      <w:r>
        <w:drawing>
          <wp:inline xmlns:a="http://schemas.openxmlformats.org/drawingml/2006/main" xmlns:pic="http://schemas.openxmlformats.org/drawingml/2006/picture">
            <wp:extent cx="5715000" cy="3633304"/>
            <wp:docPr id="1" name="Picture 1"/>
            <wp:cNvGraphicFramePr>
              <a:graphicFrameLocks noChangeAspect="1"/>
            </wp:cNvGraphicFramePr>
            <a:graphic>
              <a:graphicData uri="http://schemas.openxmlformats.org/drawingml/2006/picture">
                <pic:pic>
                  <pic:nvPicPr>
                    <pic:cNvPr id="0" name="plot_01_static_sampled_volume_per_spoon.png"/>
                    <pic:cNvPicPr/>
                  </pic:nvPicPr>
                  <pic:blipFill>
                    <a:blip r:embed="rId9"/>
                    <a:stretch>
                      <a:fillRect/>
                    </a:stretch>
                  </pic:blipFill>
                  <pic:spPr>
                    <a:xfrm>
                      <a:off x="0" y="0"/>
                      <a:ext cx="5715000" cy="3633304"/>
                    </a:xfrm>
                    <a:prstGeom prst="rect"/>
                  </pic:spPr>
                </pic:pic>
              </a:graphicData>
            </a:graphic>
          </wp:inline>
        </w:drawing>
      </w:r>
    </w:p>
    <w:p>
      <w:pPr>
        <w:pStyle w:val="ListBullet"/>
      </w:pPr>
      <w:r>
        <w:t>plot_02_static_sample_mass_per_spoon.png</w:t>
      </w:r>
    </w:p>
    <w:p>
      <w:r>
        <w:drawing>
          <wp:inline xmlns:a="http://schemas.openxmlformats.org/drawingml/2006/main" xmlns:pic="http://schemas.openxmlformats.org/drawingml/2006/picture">
            <wp:extent cx="5715000" cy="4008783"/>
            <wp:docPr id="2" name="Picture 2"/>
            <wp:cNvGraphicFramePr>
              <a:graphicFrameLocks noChangeAspect="1"/>
            </wp:cNvGraphicFramePr>
            <a:graphic>
              <a:graphicData uri="http://schemas.openxmlformats.org/drawingml/2006/picture">
                <pic:pic>
                  <pic:nvPicPr>
                    <pic:cNvPr id="0" name="plot_02_static_sample_mass_per_spoon.png"/>
                    <pic:cNvPicPr/>
                  </pic:nvPicPr>
                  <pic:blipFill>
                    <a:blip r:embed="rId10"/>
                    <a:stretch>
                      <a:fillRect/>
                    </a:stretch>
                  </pic:blipFill>
                  <pic:spPr>
                    <a:xfrm>
                      <a:off x="0" y="0"/>
                      <a:ext cx="5715000" cy="4008783"/>
                    </a:xfrm>
                    <a:prstGeom prst="rect"/>
                  </pic:spPr>
                </pic:pic>
              </a:graphicData>
            </a:graphic>
          </wp:inline>
        </w:drawing>
      </w:r>
    </w:p>
    <w:p>
      <w:pPr>
        <w:pStyle w:val="ListBullet"/>
      </w:pPr>
      <w:r>
        <w:t>plot_03_spoons_contributing_vs_interval.png</w:t>
      </w:r>
    </w:p>
    <w:p>
      <w:r>
        <w:drawing>
          <wp:inline xmlns:a="http://schemas.openxmlformats.org/drawingml/2006/main" xmlns:pic="http://schemas.openxmlformats.org/drawingml/2006/picture">
            <wp:extent cx="5715000" cy="3633304"/>
            <wp:docPr id="3" name="Picture 3"/>
            <wp:cNvGraphicFramePr>
              <a:graphicFrameLocks noChangeAspect="1"/>
            </wp:cNvGraphicFramePr>
            <a:graphic>
              <a:graphicData uri="http://schemas.openxmlformats.org/drawingml/2006/picture">
                <pic:pic>
                  <pic:nvPicPr>
                    <pic:cNvPr id="0" name="plot_03_spoons_contributing_vs_interval.png"/>
                    <pic:cNvPicPr/>
                  </pic:nvPicPr>
                  <pic:blipFill>
                    <a:blip r:embed="rId11"/>
                    <a:stretch>
                      <a:fillRect/>
                    </a:stretch>
                  </pic:blipFill>
                  <pic:spPr>
                    <a:xfrm>
                      <a:off x="0" y="0"/>
                      <a:ext cx="5715000" cy="3633304"/>
                    </a:xfrm>
                    <a:prstGeom prst="rect"/>
                  </pic:spPr>
                </pic:pic>
              </a:graphicData>
            </a:graphic>
          </wp:inline>
        </w:drawing>
      </w:r>
    </w:p>
    <w:p>
      <w:pPr>
        <w:pStyle w:val="ListBullet"/>
      </w:pPr>
      <w:r>
        <w:t>plot_04_effective_sample_size_vs_flip_interval.png</w:t>
      </w:r>
    </w:p>
    <w:p>
      <w:r>
        <w:drawing>
          <wp:inline xmlns:a="http://schemas.openxmlformats.org/drawingml/2006/main" xmlns:pic="http://schemas.openxmlformats.org/drawingml/2006/picture">
            <wp:extent cx="5715000" cy="3535101"/>
            <wp:docPr id="4" name="Picture 4"/>
            <wp:cNvGraphicFramePr>
              <a:graphicFrameLocks noChangeAspect="1"/>
            </wp:cNvGraphicFramePr>
            <a:graphic>
              <a:graphicData uri="http://schemas.openxmlformats.org/drawingml/2006/picture">
                <pic:pic>
                  <pic:nvPicPr>
                    <pic:cNvPr id="0" name="plot_04_effective_sample_size_vs_flip_interval.png"/>
                    <pic:cNvPicPr/>
                  </pic:nvPicPr>
                  <pic:blipFill>
                    <a:blip r:embed="rId12"/>
                    <a:stretch>
                      <a:fillRect/>
                    </a:stretch>
                  </pic:blipFill>
                  <pic:spPr>
                    <a:xfrm>
                      <a:off x="0" y="0"/>
                      <a:ext cx="5715000" cy="3535101"/>
                    </a:xfrm>
                    <a:prstGeom prst="rect"/>
                  </pic:spPr>
                </pic:pic>
              </a:graphicData>
            </a:graphic>
          </wp:inline>
        </w:drawing>
      </w:r>
    </w:p>
    <w:p>
      <w:pPr>
        <w:pStyle w:val="ListBullet"/>
      </w:pPr>
      <w:r>
        <w:t>plot_05_effective_mass_vs_flip_interval_selected_depths.png</w:t>
      </w:r>
    </w:p>
    <w:p>
      <w:r>
        <w:drawing>
          <wp:inline xmlns:a="http://schemas.openxmlformats.org/drawingml/2006/main" xmlns:pic="http://schemas.openxmlformats.org/drawingml/2006/picture">
            <wp:extent cx="5715000" cy="3622260"/>
            <wp:docPr id="5" name="Picture 5"/>
            <wp:cNvGraphicFramePr>
              <a:graphicFrameLocks noChangeAspect="1"/>
            </wp:cNvGraphicFramePr>
            <a:graphic>
              <a:graphicData uri="http://schemas.openxmlformats.org/drawingml/2006/picture">
                <pic:pic>
                  <pic:nvPicPr>
                    <pic:cNvPr id="0" name="plot_05_effective_mass_vs_flip_interval_selected_depths.png"/>
                    <pic:cNvPicPr/>
                  </pic:nvPicPr>
                  <pic:blipFill>
                    <a:blip r:embed="rId13"/>
                    <a:stretch>
                      <a:fillRect/>
                    </a:stretch>
                  </pic:blipFill>
                  <pic:spPr>
                    <a:xfrm>
                      <a:off x="0" y="0"/>
                      <a:ext cx="5715000" cy="3622260"/>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