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C Effective Sample Size Report</w:t>
      </w:r>
    </w:p>
    <w:p>
      <w:pPr>
        <w:pStyle w:val="Heading1"/>
      </w:pPr>
      <w:r>
        <w:t>Run Metadata</w:t>
      </w:r>
    </w:p>
    <w:p>
      <w:r>
        <w:t>Setup name: setup_c</w:t>
      </w:r>
    </w:p>
    <w:p>
      <w:r>
        <w:t>Run timestamp: 20260315_213339</w:t>
      </w:r>
    </w:p>
    <w:p>
      <w:r>
        <w:t>Notebook filename: setup_C_spiderwheel_effective_sample_size.ipynb</w:t>
      </w:r>
    </w:p>
    <w:p>
      <w:r>
        <w:t>Run directory: C:\Users\Erik\Documents\Projects\EFS\reports\setup_c\20260315_213339</w:t>
      </w:r>
    </w:p>
    <w:p>
      <w:pPr>
        <w:pStyle w:val="Heading1"/>
      </w:pPr>
      <w:r>
        <w:t>Notebook Narrative</w:t>
      </w:r>
    </w:p>
    <w:p>
      <w:pPr>
        <w:pStyle w:val="Heading1"/>
      </w:pPr>
      <w:r>
        <w:t>Setup C: spiderwheel effective sample size proxy</w:t>
      </w:r>
    </w:p>
    <w:p>
      <w:r>
        <w:t>This notebook estimates a first-order refreshed optical mass proxy for a spiderwheel-driven NIR diffuse reflectance powder interface. It is intended as a presentation-ready engineering notebook, not a radiative-transfer model or a Gy sampling-theory model.</w:t>
      </w:r>
    </w:p>
    <w:p>
      <w:pPr>
        <w:pStyle w:val="Heading2"/>
      </w:pPr>
      <w:r>
        <w:t>Scientific background</w:t>
      </w:r>
    </w:p>
    <w:p>
      <w:r>
        <w:t>NIR diffuse reflectance probes interrogate a shallow powder layer in front of the optical window. In practical engineering studies, the optical interaction region is often approximated with a simple geometry so that motion, density, and penetration depth can be compared without a full photon-transport model.</w:t>
      </w:r>
    </w:p>
    <w:p>
      <w:r>
        <w:t>Mechanical renewal matters because one spectrum is acquired over a finite time window. If fresh powder is repeatedly moved through the probe field during that interval, the measurement can represent a larger gross refreshed optical mass than a static bed. Setup C differs from a static powder bed and from a simple through-flow interface because a rotating spiderwheel actively sweeps powder through the local probe region. The same geometry can also periodically block the optical window when a finger passes the probe.</w:t>
      </w:r>
    </w:p>
    <w:p>
      <w:pPr>
        <w:pStyle w:val="Heading2"/>
      </w:pPr>
      <w:r>
        <w:t>Setup C device description</w:t>
      </w:r>
    </w:p>
    <w:p>
      <w:r>
        <w:t>The device is modeled as a 4-legged spiderwheel centered in a powder stream. The NIR probe sits at the true 1 o'clock position relative to the wheel center, with a fixed probe window diameter of 5 mm. The fingers move powder through the field of view, but when a finger overlaps the probe region the window is treated as fully blocked. This notebook uses a first-order mechanistic approximation based on the wheel geometry conventions used in spiderwheel.ipynb.</w:t>
      </w:r>
    </w:p>
    <w:p>
      <w:pPr>
        <w:pStyle w:val="Heading2"/>
      </w:pPr>
      <w:r>
        <w:t>Model assumptions</w:t>
      </w:r>
    </w:p>
    <w:p>
      <w:pPr>
        <w:pStyle w:val="ListBullet"/>
      </w:pPr>
      <w:r>
        <w:t>Optical sampling volume is approximated as a cylinder.</w:t>
      </w:r>
    </w:p>
    <w:p>
      <w:pPr>
        <w:pStyle w:val="ListBullet"/>
      </w:pPr>
      <w:r>
        <w:t>Optical mass per refresh equals probe footprint area times penetration depth times bulk density.</w:t>
      </w:r>
    </w:p>
    <w:p>
      <w:pPr>
        <w:pStyle w:val="ListBullet"/>
      </w:pPr>
      <w:r>
        <w:t>Powder renewal is approximated from tangential wheel motion at the probe radius.</w:t>
      </w:r>
    </w:p>
    <w:p>
      <w:pPr>
        <w:pStyle w:val="ListBullet"/>
      </w:pPr>
      <w:r>
        <w:t>Wheel fingers block the probe during overlap intervals.</w:t>
      </w:r>
    </w:p>
    <w:p>
      <w:pPr>
        <w:pStyle w:val="ListBullet"/>
      </w:pPr>
      <w:r>
        <w:t>Blocked time is subtracted from total acquisition time.</w:t>
      </w:r>
    </w:p>
    <w:p>
      <w:pPr>
        <w:pStyle w:val="ListBullet"/>
      </w:pPr>
      <w:r>
        <w:t>Bulk density is constant and spatially uniform.</w:t>
      </w:r>
    </w:p>
    <w:p>
      <w:pPr>
        <w:pStyle w:val="ListBullet"/>
      </w:pPr>
      <w:r>
        <w:t>Powder re-presentation and recirculation are ignored.</w:t>
      </w:r>
    </w:p>
    <w:p>
      <w:pPr>
        <w:pStyle w:val="ListBullet"/>
      </w:pPr>
      <w:r>
        <w:t>Binary blocking is assumed rather than partial attenuation.</w:t>
      </w:r>
    </w:p>
    <w:p>
      <w:pPr>
        <w:pStyle w:val="ListBullet"/>
      </w:pPr>
      <w:r>
        <w:t>Output is a refresh-based effective sample size proxy, not a validated independent sample mass.</w:t>
      </w:r>
    </w:p>
    <w:p>
      <w:pPr>
        <w:pStyle w:val="Heading2"/>
      </w:pPr>
      <w:r>
        <w:t>Mathematical model</w:t>
      </w:r>
    </w:p>
    <w:p>
      <w:r>
        <w:drawing>
          <wp:inline xmlns:a="http://schemas.openxmlformats.org/drawingml/2006/main" xmlns:pic="http://schemas.openxmlformats.org/drawingml/2006/picture">
            <wp:extent cx="5257800" cy="1849697"/>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1849697"/>
                    </a:xfrm>
                    <a:prstGeom prst="rect"/>
                  </pic:spPr>
                </pic:pic>
              </a:graphicData>
            </a:graphic>
          </wp:inline>
        </w:drawing>
      </w:r>
    </w:p>
    <w:p>
      <w:r>
        <w:drawing>
          <wp:inline xmlns:a="http://schemas.openxmlformats.org/drawingml/2006/main" xmlns:pic="http://schemas.openxmlformats.org/drawingml/2006/picture">
            <wp:extent cx="5257800" cy="1133652"/>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133652"/>
                    </a:xfrm>
                    <a:prstGeom prst="rect"/>
                  </pic:spPr>
                </pic:pic>
              </a:graphicData>
            </a:graphic>
          </wp:inline>
        </w:drawing>
      </w:r>
    </w:p>
    <w:p>
      <w:r>
        <w:drawing>
          <wp:inline xmlns:a="http://schemas.openxmlformats.org/drawingml/2006/main" xmlns:pic="http://schemas.openxmlformats.org/drawingml/2006/picture">
            <wp:extent cx="5257800" cy="2023923"/>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2023923"/>
                    </a:xfrm>
                    <a:prstGeom prst="rect"/>
                  </pic:spPr>
                </pic:pic>
              </a:graphicData>
            </a:graphic>
          </wp:inline>
        </w:drawing>
      </w:r>
    </w:p>
    <w:p>
      <w:r>
        <w:drawing>
          <wp:inline xmlns:a="http://schemas.openxmlformats.org/drawingml/2006/main" xmlns:pic="http://schemas.openxmlformats.org/drawingml/2006/picture">
            <wp:extent cx="5257800" cy="1312140"/>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1312140"/>
                    </a:xfrm>
                    <a:prstGeom prst="rect"/>
                  </pic:spPr>
                </pic:pic>
              </a:graphicData>
            </a:graphic>
          </wp:inline>
        </w:drawing>
      </w:r>
    </w:p>
    <w:p>
      <w:r>
        <w:drawing>
          <wp:inline xmlns:a="http://schemas.openxmlformats.org/drawingml/2006/main" xmlns:pic="http://schemas.openxmlformats.org/drawingml/2006/picture">
            <wp:extent cx="5257800" cy="947112"/>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947112"/>
                    </a:xfrm>
                    <a:prstGeom prst="rect"/>
                  </pic:spPr>
                </pic:pic>
              </a:graphicData>
            </a:graphic>
          </wp:inline>
        </w:drawing>
      </w:r>
    </w:p>
    <w:p>
      <w:r>
        <w:drawing>
          <wp:inline xmlns:a="http://schemas.openxmlformats.org/drawingml/2006/main" xmlns:pic="http://schemas.openxmlformats.org/drawingml/2006/picture">
            <wp:extent cx="5257800" cy="1182161"/>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1182161"/>
                    </a:xfrm>
                    <a:prstGeom prst="rect"/>
                  </pic:spPr>
                </pic:pic>
              </a:graphicData>
            </a:graphic>
          </wp:inline>
        </w:drawing>
      </w:r>
    </w:p>
    <w:p>
      <w:r>
        <w:drawing>
          <wp:inline xmlns:a="http://schemas.openxmlformats.org/drawingml/2006/main" xmlns:pic="http://schemas.openxmlformats.org/drawingml/2006/picture">
            <wp:extent cx="5257800" cy="1770622"/>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1770622"/>
                    </a:xfrm>
                    <a:prstGeom prst="rect"/>
                  </pic:spPr>
                </pic:pic>
              </a:graphicData>
            </a:graphic>
          </wp:inline>
        </w:drawing>
      </w:r>
    </w:p>
    <w:p>
      <w:r>
        <w:drawing>
          <wp:inline xmlns:a="http://schemas.openxmlformats.org/drawingml/2006/main" xmlns:pic="http://schemas.openxmlformats.org/drawingml/2006/picture">
            <wp:extent cx="5257800" cy="902589"/>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902589"/>
                    </a:xfrm>
                    <a:prstGeom prst="rect"/>
                  </pic:spPr>
                </pic:pic>
              </a:graphicData>
            </a:graphic>
          </wp:inline>
        </w:drawing>
      </w:r>
    </w:p>
    <w:p>
      <w:r>
        <w:drawing>
          <wp:inline xmlns:a="http://schemas.openxmlformats.org/drawingml/2006/main" xmlns:pic="http://schemas.openxmlformats.org/drawingml/2006/picture">
            <wp:extent cx="5257800" cy="1652107"/>
            <wp:docPr id="9" name="Picture 9"/>
            <wp:cNvGraphicFramePr>
              <a:graphicFrameLocks noChangeAspect="1"/>
            </wp:cNvGraphicFramePr>
            <a:graphic>
              <a:graphicData uri="http://schemas.openxmlformats.org/drawingml/2006/picture">
                <pic:pic>
                  <pic:nvPicPr>
                    <pic:cNvPr id="0" name="equation_008.png"/>
                    <pic:cNvPicPr/>
                  </pic:nvPicPr>
                  <pic:blipFill>
                    <a:blip r:embed="rId17"/>
                    <a:stretch>
                      <a:fillRect/>
                    </a:stretch>
                  </pic:blipFill>
                  <pic:spPr>
                    <a:xfrm>
                      <a:off x="0" y="0"/>
                      <a:ext cx="5257800" cy="1652107"/>
                    </a:xfrm>
                    <a:prstGeom prst="rect"/>
                  </pic:spPr>
                </pic:pic>
              </a:graphicData>
            </a:graphic>
          </wp:inline>
        </w:drawing>
      </w:r>
    </w:p>
    <w:p>
      <w:r>
        <w:drawing>
          <wp:inline xmlns:a="http://schemas.openxmlformats.org/drawingml/2006/main" xmlns:pic="http://schemas.openxmlformats.org/drawingml/2006/picture">
            <wp:extent cx="5257800" cy="690086"/>
            <wp:docPr id="10" name="Picture 10"/>
            <wp:cNvGraphicFramePr>
              <a:graphicFrameLocks noChangeAspect="1"/>
            </wp:cNvGraphicFramePr>
            <a:graphic>
              <a:graphicData uri="http://schemas.openxmlformats.org/drawingml/2006/picture">
                <pic:pic>
                  <pic:nvPicPr>
                    <pic:cNvPr id="0" name="equation_009.png"/>
                    <pic:cNvPicPr/>
                  </pic:nvPicPr>
                  <pic:blipFill>
                    <a:blip r:embed="rId18"/>
                    <a:stretch>
                      <a:fillRect/>
                    </a:stretch>
                  </pic:blipFill>
                  <pic:spPr>
                    <a:xfrm>
                      <a:off x="0" y="0"/>
                      <a:ext cx="5257800" cy="690086"/>
                    </a:xfrm>
                    <a:prstGeom prst="rect"/>
                  </pic:spPr>
                </pic:pic>
              </a:graphicData>
            </a:graphic>
          </wp:inline>
        </w:drawing>
      </w:r>
    </w:p>
    <w:p>
      <w:r>
        <w:t>Blocked time is estimated from a combined angular overlap of finger width and probe width at the probe radius. The result is best interpreted as a gross refreshed optical mass proxy during one spectrum.</w:t>
      </w:r>
    </w:p>
    <w:p>
      <w:pPr>
        <w:pStyle w:val="Heading2"/>
      </w:pPr>
      <w:r>
        <w:t>Imports</w:t>
      </w:r>
    </w:p>
    <w:p>
      <w:pPr>
        <w:pStyle w:val="Heading2"/>
      </w:pPr>
      <w:r>
        <w:t>User-defined parameters</w:t>
      </w:r>
    </w:p>
    <w:p>
      <w:pPr>
        <w:pStyle w:val="Heading2"/>
      </w:pPr>
      <w:r>
        <w:t>Helper functions</w:t>
      </w:r>
    </w:p>
    <w:p>
      <w:pPr>
        <w:pStyle w:val="Heading2"/>
      </w:pPr>
      <w:r>
        <w:t>Single-case worked example</w:t>
      </w:r>
    </w:p>
    <w:p>
      <w:pPr>
        <w:pStyle w:val="Heading2"/>
      </w:pPr>
      <w:r>
        <w:t>Parameter sweep across density, RPM, and penetration depth</w:t>
      </w:r>
    </w:p>
    <w:p>
      <w:pPr>
        <w:pStyle w:val="Heading2"/>
      </w:pPr>
      <w:r>
        <w:t>Results tables</w:t>
      </w:r>
    </w:p>
    <w:p>
      <w:pPr>
        <w:pStyle w:val="Heading2"/>
      </w:pPr>
      <w:r>
        <w:t>Visualization</w:t>
      </w:r>
    </w:p>
    <w:p>
      <w:r>
        <w:t>The blocking model assumes full blocking when a finger overlaps the probe region; it does not model partial attenuation.</w:t>
      </w:r>
    </w:p>
    <w:p>
      <w:pPr>
        <w:pStyle w:val="Heading2"/>
      </w:pPr>
      <w:r>
        <w:t>Interpretation of trends</w:t>
      </w:r>
    </w:p>
    <w:p>
      <w:r>
        <w:t>Increasing density increases mass linearly. Increasing penetration depth increases optical mass per refresh linearly in this simplified model. Increasing RPM decreases crossing time and tends to increase refresh count, while blocking reduces effective acquisition time and partially offsets that gain. The output is a refreshed optical mass proxy, not necessarily an independent sampling mass.</w:t>
      </w:r>
    </w:p>
    <w:p>
      <w:pPr>
        <w:pStyle w:val="Heading2"/>
      </w:pPr>
      <w:r>
        <w:t>Model limitations</w:t>
      </w:r>
    </w:p>
    <w:p>
      <w:pPr>
        <w:pStyle w:val="ListBullet"/>
      </w:pPr>
      <w:r>
        <w:t>Cylindrical optical volume is only an approximation.</w:t>
      </w:r>
    </w:p>
    <w:p>
      <w:pPr>
        <w:pStyle w:val="ListBullet"/>
      </w:pPr>
      <w:r>
        <w:t>No radiative transfer or photon weighting with depth.</w:t>
      </w:r>
    </w:p>
    <w:p>
      <w:pPr>
        <w:pStyle w:val="ListBullet"/>
      </w:pPr>
      <w:r>
        <w:t>No powder recirculation or revisit probability.</w:t>
      </w:r>
    </w:p>
    <w:p>
      <w:pPr>
        <w:pStyle w:val="ListBullet"/>
      </w:pPr>
      <w:r>
        <w:t>No correction for repeated presentation of the same powder.</w:t>
      </w:r>
    </w:p>
    <w:p>
      <w:pPr>
        <w:pStyle w:val="ListBullet"/>
      </w:pPr>
      <w:r>
        <w:t>Binary blocking rather than partial attenuation.</w:t>
      </w:r>
    </w:p>
    <w:p>
      <w:pPr>
        <w:pStyle w:val="ListBullet"/>
      </w:pPr>
      <w:r>
        <w:t>Constant bulk density assumption.</w:t>
      </w:r>
    </w:p>
    <w:p>
      <w:pPr>
        <w:pStyle w:val="ListBullet"/>
      </w:pPr>
      <w:r>
        <w:t>No particle size or particle count model.</w:t>
      </w:r>
    </w:p>
    <w:p>
      <w:pPr>
        <w:pStyle w:val="ListBullet"/>
      </w:pPr>
      <w:r>
        <w:t>Not linked directly to analytical variance or Gy sampling theory.</w:t>
      </w:r>
    </w:p>
    <w:p>
      <w:pPr>
        <w:pStyle w:val="Heading2"/>
      </w:pPr>
      <w:r>
        <w:t>Conclusions</w:t>
      </w:r>
    </w:p>
    <w:p>
      <w:r>
        <w:t>The notebook estimates a first-order refreshed optical mass proxy for Setup C. Density, penetration depth, RPM, probe size, and blocking geometry strongly influence the result. This is useful for sensitivity analysis and engineering intuition, while future improvements could include phase-resolved blocking, revisit probability, partial blocking, and more realistic optical weighting.</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C estimates a refreshed optical mass proxy for a spiderwheel presentation by combining optical mass per refresh with a refresh count derived from wheel speed and blocked acquisition time.</w:t>
      </w:r>
    </w:p>
    <w:p>
      <w:pPr>
        <w:pStyle w:val="Heading1"/>
      </w:pPr>
      <w:r>
        <w:t>Assumptions</w:t>
      </w:r>
    </w:p>
    <w:p>
      <w:r>
        <w:t>Uniform bulk density, full blocking simplification for wheel fingers, cylindrical optical sampling volume, and deterministic refresh counting without revisit or partial-blocking corrections.</w:t>
      </w:r>
    </w:p>
    <w:p>
      <w:pPr>
        <w:pStyle w:val="Heading1"/>
      </w:pPr>
      <w:r>
        <w:t>Parameter Summary</w:t>
      </w:r>
    </w:p>
    <w:p>
      <w:pPr>
        <w:pStyle w:val="ListBullet"/>
      </w:pPr>
      <w:r>
        <w:t>Finger count: 4</w:t>
      </w:r>
    </w:p>
    <w:p>
      <w:pPr>
        <w:pStyle w:val="ListBullet"/>
      </w:pPr>
      <w:r>
        <w:t>Wheel radius (cm): 3</w:t>
      </w:r>
    </w:p>
    <w:p>
      <w:pPr>
        <w:pStyle w:val="ListBullet"/>
      </w:pPr>
      <w:r>
        <w:t>Probe radius (cm): 1.8</w:t>
      </w:r>
    </w:p>
    <w:p>
      <w:pPr>
        <w:pStyle w:val="ListBullet"/>
      </w:pPr>
      <w:r>
        <w:t>Finger width (cm): 0.3</w:t>
      </w:r>
    </w:p>
    <w:p>
      <w:pPr>
        <w:pStyle w:val="ListBullet"/>
      </w:pPr>
      <w:r>
        <w:t>Probe diameter (mm): 5</w:t>
      </w:r>
    </w:p>
    <w:p>
      <w:pPr>
        <w:pStyle w:val="ListBullet"/>
      </w:pPr>
      <w:r>
        <w:t>Acquisition time (s): 1</w:t>
      </w:r>
    </w:p>
    <w:p>
      <w:pPr>
        <w:pStyle w:val="ListBullet"/>
      </w:pPr>
      <w:r>
        <w:t>Density scenarios (g/cm^3): 0.4, 0.5, 0.6</w:t>
      </w:r>
    </w:p>
    <w:p>
      <w:pPr>
        <w:pStyle w:val="ListBullet"/>
      </w:pPr>
      <w:r>
        <w:t>RPM range: 10 to 35</w:t>
      </w:r>
    </w:p>
    <w:p>
      <w:pPr>
        <w:pStyle w:val="ListBullet"/>
      </w:pPr>
      <w:r>
        <w:t>Penetration depth range (mm): 0.1 to 2.0</w:t>
      </w:r>
    </w:p>
    <w:p>
      <w:pPr>
        <w:pStyle w:val="Heading1"/>
      </w:pPr>
      <w:r>
        <w:t>Exported CSV Files</w:t>
      </w:r>
    </w:p>
    <w:p>
      <w:pPr>
        <w:pStyle w:val="ListBullet"/>
      </w:pPr>
      <w:r>
        <w:t>results_full.csv</w:t>
      </w:r>
    </w:p>
    <w:p>
      <w:pPr>
        <w:pStyle w:val="ListBullet"/>
      </w:pPr>
      <w:r>
        <w:t>summary_table.csv</w:t>
      </w:r>
    </w:p>
    <w:p>
      <w:pPr>
        <w:pStyle w:val="ListBullet"/>
      </w:pPr>
      <w:r>
        <w:t>blocking_summary.csv</w:t>
      </w:r>
    </w:p>
    <w:p>
      <w:r>
        <w:t>Detailed tables are saved separately as CSV files in the run folder.</w:t>
      </w:r>
    </w:p>
    <w:p>
      <w:pPr>
        <w:pStyle w:val="Heading1"/>
      </w:pPr>
      <w:r>
        <w:t>Figures</w:t>
      </w:r>
    </w:p>
    <w:p>
      <w:pPr>
        <w:pStyle w:val="ListBullet"/>
      </w:pPr>
      <w:r>
        <w:t>plot_01_proxy_vs_penetration_depth.png</w:t>
      </w:r>
    </w:p>
    <w:p>
      <w:r>
        <w:drawing>
          <wp:inline xmlns:a="http://schemas.openxmlformats.org/drawingml/2006/main" xmlns:pic="http://schemas.openxmlformats.org/drawingml/2006/picture">
            <wp:extent cx="5715000" cy="3878233"/>
            <wp:docPr id="11" name="Picture 11"/>
            <wp:cNvGraphicFramePr>
              <a:graphicFrameLocks noChangeAspect="1"/>
            </wp:cNvGraphicFramePr>
            <a:graphic>
              <a:graphicData uri="http://schemas.openxmlformats.org/drawingml/2006/picture">
                <pic:pic>
                  <pic:nvPicPr>
                    <pic:cNvPr id="0" name="plot_01_proxy_vs_penetration_depth.png"/>
                    <pic:cNvPicPr/>
                  </pic:nvPicPr>
                  <pic:blipFill>
                    <a:blip r:embed="rId19"/>
                    <a:stretch>
                      <a:fillRect/>
                    </a:stretch>
                  </pic:blipFill>
                  <pic:spPr>
                    <a:xfrm>
                      <a:off x="0" y="0"/>
                      <a:ext cx="5715000" cy="3878233"/>
                    </a:xfrm>
                    <a:prstGeom prst="rect"/>
                  </pic:spPr>
                </pic:pic>
              </a:graphicData>
            </a:graphic>
          </wp:inline>
        </w:drawing>
      </w:r>
    </w:p>
    <w:p>
      <w:pPr>
        <w:pStyle w:val="ListBullet"/>
      </w:pPr>
      <w:r>
        <w:t>plot_02_proxy_vs_rpm.png</w:t>
      </w:r>
    </w:p>
    <w:p>
      <w:r>
        <w:drawing>
          <wp:inline xmlns:a="http://schemas.openxmlformats.org/drawingml/2006/main" xmlns:pic="http://schemas.openxmlformats.org/drawingml/2006/picture">
            <wp:extent cx="5715000" cy="3875467"/>
            <wp:docPr id="12" name="Picture 12"/>
            <wp:cNvGraphicFramePr>
              <a:graphicFrameLocks noChangeAspect="1"/>
            </wp:cNvGraphicFramePr>
            <a:graphic>
              <a:graphicData uri="http://schemas.openxmlformats.org/drawingml/2006/picture">
                <pic:pic>
                  <pic:nvPicPr>
                    <pic:cNvPr id="0" name="plot_02_proxy_vs_rpm.png"/>
                    <pic:cNvPicPr/>
                  </pic:nvPicPr>
                  <pic:blipFill>
                    <a:blip r:embed="rId20"/>
                    <a:stretch>
                      <a:fillRect/>
                    </a:stretch>
                  </pic:blipFill>
                  <pic:spPr>
                    <a:xfrm>
                      <a:off x="0" y="0"/>
                      <a:ext cx="5715000" cy="3875467"/>
                    </a:xfrm>
                    <a:prstGeom prst="rect"/>
                  </pic:spPr>
                </pic:pic>
              </a:graphicData>
            </a:graphic>
          </wp:inline>
        </w:drawing>
      </w:r>
    </w:p>
    <w:p>
      <w:pPr>
        <w:pStyle w:val="ListBullet"/>
      </w:pPr>
      <w:r>
        <w:t>plot_03_heatmap_density_05.png</w:t>
      </w:r>
    </w:p>
    <w:p>
      <w:r>
        <w:drawing>
          <wp:inline xmlns:a="http://schemas.openxmlformats.org/drawingml/2006/main" xmlns:pic="http://schemas.openxmlformats.org/drawingml/2006/picture">
            <wp:extent cx="5715000" cy="4031579"/>
            <wp:docPr id="13" name="Picture 13"/>
            <wp:cNvGraphicFramePr>
              <a:graphicFrameLocks noChangeAspect="1"/>
            </wp:cNvGraphicFramePr>
            <a:graphic>
              <a:graphicData uri="http://schemas.openxmlformats.org/drawingml/2006/picture">
                <pic:pic>
                  <pic:nvPicPr>
                    <pic:cNvPr id="0" name="plot_03_heatmap_density_05.png"/>
                    <pic:cNvPicPr/>
                  </pic:nvPicPr>
                  <pic:blipFill>
                    <a:blip r:embed="rId21"/>
                    <a:stretch>
                      <a:fillRect/>
                    </a:stretch>
                  </pic:blipFill>
                  <pic:spPr>
                    <a:xfrm>
                      <a:off x="0" y="0"/>
                      <a:ext cx="5715000" cy="4031579"/>
                    </a:xfrm>
                    <a:prstGeom prst="rect"/>
                  </pic:spPr>
                </pic:pic>
              </a:graphicData>
            </a:graphic>
          </wp:inline>
        </w:drawing>
      </w:r>
    </w:p>
    <w:p>
      <w:pPr>
        <w:pStyle w:val="ListBullet"/>
      </w:pPr>
      <w:r>
        <w:t>plot_04_blocked_time_fraction_vs_rpm.png</w:t>
      </w:r>
    </w:p>
    <w:p>
      <w:r>
        <w:drawing>
          <wp:inline xmlns:a="http://schemas.openxmlformats.org/drawingml/2006/main" xmlns:pic="http://schemas.openxmlformats.org/drawingml/2006/picture">
            <wp:extent cx="5715000" cy="3877344"/>
            <wp:docPr id="14" name="Picture 14"/>
            <wp:cNvGraphicFramePr>
              <a:graphicFrameLocks noChangeAspect="1"/>
            </wp:cNvGraphicFramePr>
            <a:graphic>
              <a:graphicData uri="http://schemas.openxmlformats.org/drawingml/2006/picture">
                <pic:pic>
                  <pic:nvPicPr>
                    <pic:cNvPr id="0" name="plot_04_blocked_time_fraction_vs_rpm.png"/>
                    <pic:cNvPicPr/>
                  </pic:nvPicPr>
                  <pic:blipFill>
                    <a:blip r:embed="rId22"/>
                    <a:stretch>
                      <a:fillRect/>
                    </a:stretch>
                  </pic:blipFill>
                  <pic:spPr>
                    <a:xfrm>
                      <a:off x="0" y="0"/>
                      <a:ext cx="5715000" cy="3877344"/>
                    </a:xfrm>
                    <a:prstGeom prst="rect"/>
                  </pic:spPr>
                </pic:pic>
              </a:graphicData>
            </a:graphic>
          </wp:inline>
        </w:drawing>
      </w:r>
    </w:p>
    <w:p>
      <w:pPr>
        <w:pStyle w:val="ListBullet"/>
      </w:pPr>
      <w:r>
        <w:t>plot_05_optical_mass_per_refresh.png</w:t>
      </w:r>
    </w:p>
    <w:p>
      <w:r>
        <w:drawing>
          <wp:inline xmlns:a="http://schemas.openxmlformats.org/drawingml/2006/main" xmlns:pic="http://schemas.openxmlformats.org/drawingml/2006/picture">
            <wp:extent cx="5715000" cy="3881000"/>
            <wp:docPr id="15" name="Picture 15"/>
            <wp:cNvGraphicFramePr>
              <a:graphicFrameLocks noChangeAspect="1"/>
            </wp:cNvGraphicFramePr>
            <a:graphic>
              <a:graphicData uri="http://schemas.openxmlformats.org/drawingml/2006/picture">
                <pic:pic>
                  <pic:nvPicPr>
                    <pic:cNvPr id="0" name="plot_05_optical_mass_per_refresh.png"/>
                    <pic:cNvPicPr/>
                  </pic:nvPicPr>
                  <pic:blipFill>
                    <a:blip r:embed="rId23"/>
                    <a:stretch>
                      <a:fillRect/>
                    </a:stretch>
                  </pic:blipFill>
                  <pic:spPr>
                    <a:xfrm>
                      <a:off x="0" y="0"/>
                      <a:ext cx="5715000" cy="3881000"/>
                    </a:xfrm>
                    <a:prstGeom prst="rect"/>
                  </pic:spPr>
                </pic:pic>
              </a:graphicData>
            </a:graphic>
          </wp:inline>
        </w:drawing>
      </w:r>
    </w:p>
    <w:p>
      <w:pPr>
        <w:pStyle w:val="ListBullet"/>
      </w:pPr>
      <w:r>
        <w:t>plot_06_contour_density_06.png</w:t>
      </w:r>
    </w:p>
    <w:p>
      <w:r>
        <w:drawing>
          <wp:inline xmlns:a="http://schemas.openxmlformats.org/drawingml/2006/main" xmlns:pic="http://schemas.openxmlformats.org/drawingml/2006/picture">
            <wp:extent cx="5715000" cy="4031579"/>
            <wp:docPr id="16" name="Picture 16"/>
            <wp:cNvGraphicFramePr>
              <a:graphicFrameLocks noChangeAspect="1"/>
            </wp:cNvGraphicFramePr>
            <a:graphic>
              <a:graphicData uri="http://schemas.openxmlformats.org/drawingml/2006/picture">
                <pic:pic>
                  <pic:nvPicPr>
                    <pic:cNvPr id="0" name="plot_06_contour_density_06.png"/>
                    <pic:cNvPicPr/>
                  </pic:nvPicPr>
                  <pic:blipFill>
                    <a:blip r:embed="rId24"/>
                    <a:stretch>
                      <a:fillRect/>
                    </a:stretch>
                  </pic:blipFill>
                  <pic:spPr>
                    <a:xfrm>
                      <a:off x="0" y="0"/>
                      <a:ext cx="5715000" cy="4031579"/>
                    </a:xfrm>
                    <a:prstGeom prst="rect"/>
                  </pic:spPr>
                </pic:pic>
              </a:graphicData>
            </a:graphic>
          </wp:inline>
        </w:drawing>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