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Report</w:t>
      </w:r>
    </w:p>
    <w:p>
      <w:pPr>
        <w:pStyle w:val="Heading1"/>
      </w:pPr>
      <w:r>
        <w:t>Run Metadata</w:t>
      </w:r>
    </w:p>
    <w:p>
      <w:r>
        <w:t>Setup name: setup_d</w:t>
      </w:r>
    </w:p>
    <w:p>
      <w:r>
        <w:t>Run timestamp: 20260315_213210</w:t>
      </w:r>
    </w:p>
    <w:p>
      <w:r>
        <w:t>Notebook filename: setup_D_pipe_effective_sample_size.ipynb</w:t>
      </w:r>
    </w:p>
    <w:p>
      <w:r>
        <w:t>Run directory: C:\Users\Erik\Documents\Projects\EFS\reports\setup_d\20260315_213210</w:t>
      </w:r>
    </w:p>
    <w:p>
      <w:pPr>
        <w:pStyle w:val="Heading1"/>
      </w:pPr>
      <w:r>
        <w:t>Notebook Narrative</w:t>
      </w:r>
    </w:p>
    <w:p>
      <w:pPr>
        <w:pStyle w:val="Heading1"/>
      </w:pPr>
      <w:r>
        <w:t>Setup D: inclined pipe effective sample size proxy</w:t>
      </w:r>
    </w:p>
    <w:p>
      <w:pPr>
        <w:pStyle w:val="Heading2"/>
      </w:pPr>
      <w:r>
        <w:t>1. Title and purpose</w:t>
      </w:r>
    </w:p>
    <w:p>
      <w:r>
        <w:t>This notebook develops a first-order engineering model for Setup D, an inclined powder pipe with an NIR diffuse reflectance probe mounted in the lower part of the pipe. The objective is to estimate a flow-based effective sample size proxy during one spectrum acquisition.</w:t>
      </w:r>
    </w:p>
    <w:p>
      <w:r>
        <w:t>The result is best interpreted as a gross refreshed optical mass / effective sample size proxy. It is not a full radiative-transfer model, not a particulate sampling-theory model, and not a validated estimate of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optical interaction region with a simple geometric volume. Here, the optical sampling region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way to compare conditions.</w:t>
      </w:r>
    </w:p>
    <w:p>
      <w:pPr>
        <w:pStyle w:val="Heading3"/>
      </w:pPr>
      <w:r>
        <w:t>Why moving powder increases the sampled mass during one acquisition</w:t>
      </w:r>
    </w:p>
    <w:p>
      <w:r>
        <w:t>If powder continuously moves past the probe during one acquisition, the optical interaction zone is refreshed. Faster renewal means that more powder volume can pass through the probe footprint during the acquisition period. That does not guarantee statistical independence of all material seen by the instrument, but it increases the gross refreshed optical mass available to contribute to the measurement.</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mechanical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3. Setup D device description</w:t>
      </w:r>
    </w:p>
    <w:p>
      <w:r>
        <w:t>Setup D is modeled as follows:</w:t>
      </w:r>
    </w:p>
    <w:p>
      <w:pPr>
        <w:pStyle w:val="ListBullet"/>
      </w:pPr>
      <w:r>
        <w:t>pipe internal diameter = 100 mm</w:t>
      </w:r>
    </w:p>
    <w:p>
      <w:pPr>
        <w:pStyle w:val="ListBullet"/>
      </w:pPr>
      <w:r>
        <w:t>pipe axis tilted 15 degrees from vertical</w:t>
      </w:r>
    </w:p>
    <w:p>
      <w:pPr>
        <w:pStyle w:val="ListBullet"/>
      </w:pPr>
      <w:r>
        <w:t>powder enters from above and moves downward toward the outlet</w:t>
      </w:r>
    </w:p>
    <w:p>
      <w:pPr>
        <w:pStyle w:val="ListBullet"/>
      </w:pPr>
      <w:r>
        <w:t>due to the tilt, powder is expected to slide preferentially along the lower side of the pipe</w:t>
      </w:r>
    </w:p>
    <w:p>
      <w:pPr>
        <w:pStyle w:val="ListBullet"/>
      </w:pPr>
      <w:r>
        <w:t>the NIR probe is mounted in the lower part of the pipe</w:t>
      </w:r>
    </w:p>
    <w:p>
      <w:pPr>
        <w:pStyle w:val="ListBullet"/>
      </w:pPr>
      <w:r>
        <w:t>the probe window is assumed to be continuously covered by powder</w:t>
      </w:r>
    </w:p>
    <w:p>
      <w:pPr>
        <w:pStyle w:val="ListBullet"/>
      </w:pPr>
      <w:r>
        <w:t>the effective sample size proxy therefore depends primarily on powder renewal in front of the probe</w:t>
      </w:r>
    </w:p>
    <w:p>
      <w:r>
        <w:t>This notebook uses a first-order flow approximation. The 15 degree tilt is included as part of the physical setup description and qualitative interpretation, but the base model still estimates renewal from the total throughput, bulk density, and full pipe cross-sectional area.</w:t>
      </w:r>
    </w:p>
    <w:p>
      <w:pPr>
        <w:pStyle w:val="Heading2"/>
      </w:pPr>
      <w:r>
        <w:t>4. Model assumptions</w:t>
      </w:r>
    </w:p>
    <w:p>
      <w:r>
        <w:t>The base model uses the following assumptions:</w:t>
      </w:r>
    </w:p>
    <w:p>
      <w:pPr>
        <w:pStyle w:val="ListBullet"/>
      </w:pPr>
      <w:r>
        <w:t>the optical sampling volume is approximated as a cylinder: probe window area x penetration depth</w:t>
      </w:r>
    </w:p>
    <w:p>
      <w:pPr>
        <w:pStyle w:val="ListBullet"/>
      </w:pPr>
      <w:r>
        <w:t>the probe window is fully covered by powder at all times</w:t>
      </w:r>
    </w:p>
    <w:p>
      <w:pPr>
        <w:pStyle w:val="ListBullet"/>
      </w:pPr>
      <w:r>
        <w:t>powder renewal at the probe is approximated by a bulk superficial velocity derived from throughput, density, and pipe cross-sectional area</w:t>
      </w:r>
    </w:p>
    <w:p>
      <w:pPr>
        <w:pStyle w:val="ListBullet"/>
      </w:pPr>
      <w:r>
        <w:t>bulk density is constant and spatially uniform</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output is a flow-based effective sample size proxy, not a validated independent sample mass</w:t>
      </w:r>
    </w:p>
    <w:p>
      <w:r>
        <w:t>These assumptions intentionally favor transparency and reuse over physical completeness.</w:t>
      </w:r>
    </w:p>
    <w:p>
      <w:pPr>
        <w:pStyle w:val="Heading2"/>
      </w:pPr>
      <w:r>
        <w:t>5. Mathematical model</w:t>
      </w:r>
    </w:p>
    <w:p>
      <w:r>
        <w:t>Internal units used throughout the notebook are:</w:t>
      </w:r>
    </w:p>
    <w:p>
      <w:pPr>
        <w:pStyle w:val="ListBullet"/>
      </w:pPr>
      <w:r>
        <w:t>geometry in cm</w:t>
      </w:r>
    </w:p>
    <w:p>
      <w:pPr>
        <w:pStyle w:val="ListBullet"/>
      </w:pPr>
      <w:r>
        <w:t>time in s</w:t>
      </w:r>
    </w:p>
    <w:p>
      <w:pPr>
        <w:pStyle w:val="ListBullet"/>
      </w:pPr>
      <w:r>
        <w:t>density in g/cm^3</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effective sample size proxy in mg</w:t>
      </w:r>
    </w:p>
    <w:p>
      <w:r>
        <w:t>Pipe radius:</w:t>
      </w:r>
    </w:p>
    <w:p>
      <w:r>
        <w:drawing>
          <wp:inline xmlns:a="http://schemas.openxmlformats.org/drawingml/2006/main" xmlns:pic="http://schemas.openxmlformats.org/drawingml/2006/picture">
            <wp:extent cx="5257800" cy="214884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2148840"/>
                    </a:xfrm>
                    <a:prstGeom prst="rect"/>
                  </pic:spPr>
                </pic:pic>
              </a:graphicData>
            </a:graphic>
          </wp:inline>
        </w:drawing>
      </w:r>
    </w:p>
    <w:p>
      <w:r>
        <w:t>Pipe cross-sectional area:</w:t>
      </w:r>
    </w:p>
    <w:p>
      <w:r>
        <w:drawing>
          <wp:inline xmlns:a="http://schemas.openxmlformats.org/drawingml/2006/main" xmlns:pic="http://schemas.openxmlformats.org/drawingml/2006/picture">
            <wp:extent cx="5257800" cy="1512685"/>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2685"/>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141437"/>
                    </a:xfrm>
                    <a:prstGeom prst="rect"/>
                  </pic:spPr>
                </pic:pic>
              </a:graphicData>
            </a:graphic>
          </wp:inline>
        </w:drawing>
      </w:r>
    </w:p>
    <w:p>
      <w:r>
        <w:t>Superficial velocity:</w:t>
      </w:r>
    </w:p>
    <w:p>
      <w:r>
        <w:drawing>
          <wp:inline xmlns:a="http://schemas.openxmlformats.org/drawingml/2006/main" xmlns:pic="http://schemas.openxmlformats.org/drawingml/2006/picture">
            <wp:extent cx="5257800" cy="2702436"/>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2702436"/>
                    </a:xfrm>
                    <a:prstGeom prst="rect"/>
                  </pic:spPr>
                </pic:pic>
              </a:graphicData>
            </a:graphic>
          </wp:inline>
        </w:drawing>
      </w:r>
    </w:p>
    <w:p>
      <w:r>
        <w:t>Probe footprint area:</w:t>
      </w:r>
    </w:p>
    <w:p>
      <w:r>
        <w:drawing>
          <wp:inline xmlns:a="http://schemas.openxmlformats.org/drawingml/2006/main" xmlns:pic="http://schemas.openxmlformats.org/drawingml/2006/picture">
            <wp:extent cx="5257800" cy="1312140"/>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1312140"/>
                    </a:xfrm>
                    <a:prstGeom prst="rect"/>
                  </pic:spPr>
                </pic:pic>
              </a:graphicData>
            </a:graphic>
          </wp:inline>
        </w:drawing>
      </w:r>
    </w:p>
    <w:p>
      <w:r>
        <w:t>Optical volume per static slice:</w:t>
      </w:r>
    </w:p>
    <w:p>
      <w:r>
        <w:drawing>
          <wp:inline xmlns:a="http://schemas.openxmlformats.org/drawingml/2006/main" xmlns:pic="http://schemas.openxmlformats.org/drawingml/2006/picture">
            <wp:extent cx="5257800" cy="947112"/>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947112"/>
                    </a:xfrm>
                    <a:prstGeom prst="rect"/>
                  </pic:spPr>
                </pic:pic>
              </a:graphicData>
            </a:graphic>
          </wp:inline>
        </w:drawing>
      </w:r>
    </w:p>
    <w:p>
      <w:r>
        <w:t>Optical mass per static slice:</w:t>
      </w:r>
    </w:p>
    <w:p>
      <w:r>
        <w:drawing>
          <wp:inline xmlns:a="http://schemas.openxmlformats.org/drawingml/2006/main" xmlns:pic="http://schemas.openxmlformats.org/drawingml/2006/picture">
            <wp:extent cx="5257800" cy="1182161"/>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1182161"/>
                    </a:xfrm>
                    <a:prstGeom prst="rect"/>
                  </pic:spPr>
                </pic:pic>
              </a:graphicData>
            </a:graphic>
          </wp:inline>
        </w:drawing>
      </w:r>
    </w:p>
    <w:p>
      <w:r>
        <w:t>Crossing time of one probe diameter:</w:t>
      </w:r>
    </w:p>
    <w:p>
      <w:r>
        <w:drawing>
          <wp:inline xmlns:a="http://schemas.openxmlformats.org/drawingml/2006/main" xmlns:pic="http://schemas.openxmlformats.org/drawingml/2006/picture">
            <wp:extent cx="5257800" cy="1770622"/>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1770622"/>
                    </a:xfrm>
                    <a:prstGeom prst="rect"/>
                  </pic:spPr>
                </pic:pic>
              </a:graphicData>
            </a:graphic>
          </wp:inline>
        </w:drawing>
      </w:r>
    </w:p>
    <w:p>
      <w:r>
        <w:t>Number of refreshes during acquisition:</w:t>
      </w:r>
    </w:p>
    <w:p>
      <w:r>
        <w:drawing>
          <wp:inline xmlns:a="http://schemas.openxmlformats.org/drawingml/2006/main" xmlns:pic="http://schemas.openxmlformats.org/drawingml/2006/picture">
            <wp:extent cx="5257800" cy="1724462"/>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724462"/>
                    </a:xfrm>
                    <a:prstGeom prst="rect"/>
                  </pic:spPr>
                </pic:pic>
              </a:graphicData>
            </a:graphic>
          </wp:inline>
        </w:drawing>
      </w:r>
    </w:p>
    <w:p>
      <w:r>
        <w:t>Effective sample size proxy:</w:t>
      </w:r>
    </w:p>
    <w:p>
      <w:r>
        <w:drawing>
          <wp:inline xmlns:a="http://schemas.openxmlformats.org/drawingml/2006/main" xmlns:pic="http://schemas.openxmlformats.org/drawingml/2006/picture">
            <wp:extent cx="5257800" cy="690086"/>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690086"/>
                    </a:xfrm>
                    <a:prstGeom prst="rect"/>
                  </pic:spPr>
                </pic:pic>
              </a:graphicData>
            </a:graphic>
          </wp:inline>
        </w:drawing>
      </w:r>
    </w:p>
    <w:p>
      <w:r>
        <w:t>Equivalent transported-volume view:</w:t>
      </w:r>
    </w:p>
    <w:p>
      <w:r>
        <w:drawing>
          <wp:inline xmlns:a="http://schemas.openxmlformats.org/drawingml/2006/main" xmlns:pic="http://schemas.openxmlformats.org/drawingml/2006/picture">
            <wp:extent cx="5257800" cy="738060"/>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738060"/>
                    </a:xfrm>
                    <a:prstGeom prst="rect"/>
                  </pic:spPr>
                </pic:pic>
              </a:graphicData>
            </a:graphic>
          </wp:inline>
        </w:drawing>
      </w:r>
    </w:p>
    <w:p>
      <w:r>
        <w:drawing>
          <wp:inline xmlns:a="http://schemas.openxmlformats.org/drawingml/2006/main" xmlns:pic="http://schemas.openxmlformats.org/drawingml/2006/picture">
            <wp:extent cx="5257800" cy="861262"/>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861262"/>
                    </a:xfrm>
                    <a:prstGeom prst="rect"/>
                  </pic:spPr>
                </pic:pic>
              </a:graphicData>
            </a:graphic>
          </wp:inline>
        </w:drawing>
      </w:r>
    </w:p>
    <w:p>
      <w:r>
        <w:t>Under the simplified assumptions, these forms are equivalent because the probe footprint is refreshed by translation of material past the window. The 15 degree tilt remains part of the physical setup description, but the base model still uses the cross-sectional superficial velocity as the first-order renewal velocity approximation.</w:t>
      </w:r>
    </w:p>
    <w:p>
      <w:pPr>
        <w:pStyle w:val="Heading2"/>
      </w:pPr>
      <w:r>
        <w:t>9. Single-case worked example</w:t>
      </w:r>
    </w:p>
    <w:p>
      <w:r>
        <w:t>The worked example uses:</w:t>
      </w:r>
    </w:p>
    <w:p>
      <w:pPr>
        <w:pStyle w:val="ListBullet"/>
      </w:pPr>
      <w:r>
        <w:t>throughput = 70 kg/h</w:t>
      </w:r>
    </w:p>
    <w:p>
      <w:pPr>
        <w:pStyle w:val="ListBullet"/>
      </w:pPr>
      <w:r>
        <w:t>density = 0.5 g/cm^3</w:t>
      </w:r>
    </w:p>
    <w:p>
      <w:pPr>
        <w:pStyle w:val="ListBullet"/>
      </w:pPr>
      <w:r>
        <w:t>pipe diameter = 100 mm</w:t>
      </w:r>
    </w:p>
    <w:p>
      <w:pPr>
        <w:pStyle w:val="ListBullet"/>
      </w:pPr>
      <w:r>
        <w:t>pipe tilt = 15 degrees from vertical</w:t>
      </w:r>
    </w:p>
    <w:p>
      <w:pPr>
        <w:pStyle w:val="ListBullet"/>
      </w:pPr>
      <w:r>
        <w:t>probe diameter = 5.0 mm</w:t>
      </w:r>
    </w:p>
    <w:p>
      <w:pPr>
        <w:pStyle w:val="ListBullet"/>
      </w:pPr>
      <w:r>
        <w:t>penetration depth = 1.0 mm</w:t>
      </w:r>
    </w:p>
    <w:p>
      <w:pPr>
        <w:pStyle w:val="ListBullet"/>
      </w:pPr>
      <w:r>
        <w:t>acquisition time = 1.0 s</w:t>
      </w:r>
    </w:p>
    <w:p>
      <w:r>
        <w:t>This example should be interpreted as a first-order estimate. In a real tilted pipe, the local velocity at the lower wall may differ from the superficial velocity because the flowing layer can be asymmetric and concentrated near the lower side.</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g/cm^3</w:t>
      </w:r>
    </w:p>
    <w:p>
      <w:pPr>
        <w:pStyle w:val="ListBullet"/>
      </w:pPr>
      <w:r>
        <w:t>penetration depth from 0.1 to 2.0 mm in 0.1 mm steps</w:t>
      </w:r>
    </w:p>
    <w:p>
      <w:pPr>
        <w:pStyle w:val="ListBullet"/>
      </w:pPr>
      <w:r>
        <w:t>probe diameter fixed at 5 mm</w:t>
      </w:r>
    </w:p>
    <w:p>
      <w:pPr>
        <w:pStyle w:val="ListBullet"/>
      </w:pPr>
      <w:r>
        <w:t>acquisition time fixed at 1.0 s unless changed in the parameter cell</w:t>
      </w:r>
    </w:p>
    <w:p>
      <w:pPr>
        <w:pStyle w:val="Heading2"/>
      </w:pPr>
      <w:r>
        <w:t>11. Results tables</w:t>
      </w:r>
    </w:p>
    <w:p>
      <w:pPr>
        <w:pStyle w:val="Heading2"/>
      </w:pPr>
      <w:r>
        <w:t>12. Visualization</w:t>
      </w:r>
    </w:p>
    <w:p>
      <w:pPr>
        <w:pStyle w:val="Heading2"/>
      </w:pPr>
      <w:r>
        <w:t>13. Interpretation of trends</w:t>
      </w:r>
    </w:p>
    <w:p>
      <w:r>
        <w:t>Several clear trends appear in this first-order model.</w:t>
      </w:r>
    </w:p>
    <w:p>
      <w:pPr>
        <w:pStyle w:val="ListBullet"/>
      </w:pPr>
      <w:r>
        <w:t>Increasing density increases the optical mass per static slice linearly because mopt = rho Aprobe d_pen.</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proxy, not necessarily an independent sampling mass.</w:t>
      </w:r>
    </w:p>
    <w:p>
      <w:pPr>
        <w:pStyle w:val="Heading3"/>
      </w:pPr>
      <w:r>
        <w:t>Density cancellation under the simplified assumptions</w:t>
      </w:r>
    </w:p>
    <w:p>
      <w:r>
        <w:t>Starting from:</w:t>
      </w:r>
    </w:p>
    <w:p>
      <w:r>
        <w:drawing>
          <wp:inline xmlns:a="http://schemas.openxmlformats.org/drawingml/2006/main" xmlns:pic="http://schemas.openxmlformats.org/drawingml/2006/picture">
            <wp:extent cx="5257800" cy="759570"/>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759570"/>
                    </a:xfrm>
                    <a:prstGeom prst="rect"/>
                  </pic:spPr>
                </pic:pic>
              </a:graphicData>
            </a:graphic>
          </wp:inline>
        </w:drawing>
      </w:r>
    </w:p>
    <w:p>
      <w:r>
        <w:t>and substituting:</w:t>
      </w:r>
    </w:p>
    <w:p>
      <w:r>
        <w:drawing>
          <wp:inline xmlns:a="http://schemas.openxmlformats.org/drawingml/2006/main" xmlns:pic="http://schemas.openxmlformats.org/drawingml/2006/picture">
            <wp:extent cx="5257800" cy="2702436"/>
            <wp:docPr id="14" name="Picture 1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2702436"/>
                    </a:xfrm>
                    <a:prstGeom prst="rect"/>
                  </pic:spPr>
                </pic:pic>
              </a:graphicData>
            </a:graphic>
          </wp:inline>
        </w:drawing>
      </w:r>
    </w:p>
    <w:p>
      <w:r>
        <w:t>gives:</w:t>
      </w:r>
    </w:p>
    <w:p>
      <w:r>
        <w:drawing>
          <wp:inline xmlns:a="http://schemas.openxmlformats.org/drawingml/2006/main" xmlns:pic="http://schemas.openxmlformats.org/drawingml/2006/picture">
            <wp:extent cx="5257800" cy="667336"/>
            <wp:docPr id="15" name="Picture 15"/>
            <wp:cNvGraphicFramePr>
              <a:graphicFrameLocks noChangeAspect="1"/>
            </wp:cNvGraphicFramePr>
            <a:graphic>
              <a:graphicData uri="http://schemas.openxmlformats.org/drawingml/2006/picture">
                <pic:pic>
                  <pic:nvPicPr>
                    <pic:cNvPr id="0" name="equation_014.png"/>
                    <pic:cNvPicPr/>
                  </pic:nvPicPr>
                  <pic:blipFill>
                    <a:blip r:embed="rId22"/>
                    <a:stretch>
                      <a:fillRect/>
                    </a:stretch>
                  </pic:blipFill>
                  <pic:spPr>
                    <a:xfrm>
                      <a:off x="0" y="0"/>
                      <a:ext cx="5257800" cy="667336"/>
                    </a:xfrm>
                    <a:prstGeom prst="rect"/>
                  </pic:spPr>
                </pic:pic>
              </a:graphicData>
            </a:graphic>
          </wp:inline>
        </w:drawing>
      </w:r>
    </w:p>
    <w:p>
      <w:r>
        <w:drawing>
          <wp:inline xmlns:a="http://schemas.openxmlformats.org/drawingml/2006/main" xmlns:pic="http://schemas.openxmlformats.org/drawingml/2006/picture">
            <wp:extent cx="5257800" cy="637439"/>
            <wp:docPr id="16" name="Picture 16"/>
            <wp:cNvGraphicFramePr>
              <a:graphicFrameLocks noChangeAspect="1"/>
            </wp:cNvGraphicFramePr>
            <a:graphic>
              <a:graphicData uri="http://schemas.openxmlformats.org/drawingml/2006/picture">
                <pic:pic>
                  <pic:nvPicPr>
                    <pic:cNvPr id="0" name="equation_015.png"/>
                    <pic:cNvPicPr/>
                  </pic:nvPicPr>
                  <pic:blipFill>
                    <a:blip r:embed="rId23"/>
                    <a:stretch>
                      <a:fillRect/>
                    </a:stretch>
                  </pic:blipFill>
                  <pic:spPr>
                    <a:xfrm>
                      <a:off x="0" y="0"/>
                      <a:ext cx="5257800" cy="637439"/>
                    </a:xfrm>
                    <a:prstGeom prst="rect"/>
                  </pic:spPr>
                </pic:pic>
              </a:graphicData>
            </a:graphic>
          </wp:inline>
        </w:drawing>
      </w:r>
    </w:p>
    <w:p>
      <w:r>
        <w:drawing>
          <wp:inline xmlns:a="http://schemas.openxmlformats.org/drawingml/2006/main" xmlns:pic="http://schemas.openxmlformats.org/drawingml/2006/picture">
            <wp:extent cx="5257800" cy="1015344"/>
            <wp:docPr id="17" name="Picture 17"/>
            <wp:cNvGraphicFramePr>
              <a:graphicFrameLocks noChangeAspect="1"/>
            </wp:cNvGraphicFramePr>
            <a:graphic>
              <a:graphicData uri="http://schemas.openxmlformats.org/drawingml/2006/picture">
                <pic:pic>
                  <pic:nvPicPr>
                    <pic:cNvPr id="0" name="equation_016.png"/>
                    <pic:cNvPicPr/>
                  </pic:nvPicPr>
                  <pic:blipFill>
                    <a:blip r:embed="rId24"/>
                    <a:stretch>
                      <a:fillRect/>
                    </a:stretch>
                  </pic:blipFill>
                  <pic:spPr>
                    <a:xfrm>
                      <a:off x="0" y="0"/>
                      <a:ext cx="5257800" cy="1015344"/>
                    </a:xfrm>
                    <a:prstGeom prst="rect"/>
                  </pic:spPr>
                </pic:pic>
              </a:graphicData>
            </a:graphic>
          </wp:inline>
        </w:drawing>
      </w:r>
    </w:p>
    <w:p>
      <w:r>
        <w:t>So, in this specific simplified model, density cancels completely for the effective sample size proxy when throughput is fixed in mass units and the whole pipe cross-section is assumed to participate in the superficial flow. Physically, a higher density increases the static optical mass seen at one instant, but it simultaneously reduces the superficial velocity in the same proportion. The larger mass per refresh and the smaller number of refreshes offset each other.</w:t>
      </w:r>
    </w:p>
    <w:p>
      <w:r>
        <w:t>This complete cancellation is a direct consequence of the model structure. In a more realistic tilted-pipe model, density could re-enter through changes in flowing layer thickness, local wall velocity, consolidation, slip, or coverage dynamics.</w:t>
      </w:r>
    </w:p>
    <w:p>
      <w:pPr>
        <w:pStyle w:val="Heading2"/>
      </w:pPr>
      <w:r>
        <w:t>14. Model limitations</w:t>
      </w:r>
    </w:p>
    <w:p>
      <w:r>
        <w:t>Important limitations of this notebook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15 degree tilt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Heading2"/>
      </w:pPr>
      <w:r>
        <w:t>15. Conclusions</w:t>
      </w:r>
    </w:p>
    <w:p>
      <w:r>
        <w:t>This notebook estimates a first-order flow-based effective sample size proxy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notebook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D estimates a first-order flow-based effective sample size proxy in a tilted pipe by combining optical mass per refresh with a refresh rate derived from superficial velocity.</w:t>
      </w:r>
    </w:p>
    <w:p>
      <w:pPr>
        <w:pStyle w:val="Heading1"/>
      </w:pPr>
      <w:r>
        <w:t>Assumptions</w:t>
      </w:r>
    </w:p>
    <w:p>
      <w:r>
        <w:t>Superficial velocity is used as a first-order flow approximation, density is uniform within each scenario, the optical volume is cylindrical, and the tilt effect is captured only through the stated simplified geometry.</w:t>
      </w:r>
    </w:p>
    <w:p>
      <w:pPr>
        <w:pStyle w:val="Heading1"/>
      </w:pPr>
      <w:r>
        <w:t>Parameter Summary</w:t>
      </w:r>
    </w:p>
    <w:p>
      <w:pPr>
        <w:pStyle w:val="ListBullet"/>
      </w:pPr>
      <w:r>
        <w:t>Pipe diameter (mm): 100</w:t>
      </w:r>
    </w:p>
    <w:p>
      <w:pPr>
        <w:pStyle w:val="ListBullet"/>
      </w:pPr>
      <w:r>
        <w:t>Pipe tilt from vertical (deg): 15</w:t>
      </w:r>
    </w:p>
    <w:p>
      <w:pPr>
        <w:pStyle w:val="ListBullet"/>
      </w:pPr>
      <w:r>
        <w:t>Probe diameter (mm): 5</w:t>
      </w:r>
    </w:p>
    <w:p>
      <w:pPr>
        <w:pStyle w:val="ListBullet"/>
      </w:pPr>
      <w:r>
        <w:t>Acquisition time (s): 1</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plot_01_proxy_vs_penetration_depth.png</w:t>
      </w:r>
    </w:p>
    <w:p>
      <w:r>
        <w:drawing>
          <wp:inline xmlns:a="http://schemas.openxmlformats.org/drawingml/2006/main" xmlns:pic="http://schemas.openxmlformats.org/drawingml/2006/picture">
            <wp:extent cx="5715000" cy="3706448"/>
            <wp:docPr id="18" name="Picture 18"/>
            <wp:cNvGraphicFramePr>
              <a:graphicFrameLocks noChangeAspect="1"/>
            </wp:cNvGraphicFramePr>
            <a:graphic>
              <a:graphicData uri="http://schemas.openxmlformats.org/drawingml/2006/picture">
                <pic:pic>
                  <pic:nvPicPr>
                    <pic:cNvPr id="0" name="plot_01_proxy_vs_penetration_depth.png"/>
                    <pic:cNvPicPr/>
                  </pic:nvPicPr>
                  <pic:blipFill>
                    <a:blip r:embed="rId25"/>
                    <a:stretch>
                      <a:fillRect/>
                    </a:stretch>
                  </pic:blipFill>
                  <pic:spPr>
                    <a:xfrm>
                      <a:off x="0" y="0"/>
                      <a:ext cx="5715000" cy="3706448"/>
                    </a:xfrm>
                    <a:prstGeom prst="rect"/>
                  </pic:spPr>
                </pic:pic>
              </a:graphicData>
            </a:graphic>
          </wp:inline>
        </w:drawing>
      </w:r>
    </w:p>
    <w:p>
      <w:pPr>
        <w:pStyle w:val="ListBullet"/>
      </w:pPr>
      <w:r>
        <w:t>plot_02_proxy_vs_throughput.png</w:t>
      </w:r>
    </w:p>
    <w:p>
      <w:r>
        <w:drawing>
          <wp:inline xmlns:a="http://schemas.openxmlformats.org/drawingml/2006/main" xmlns:pic="http://schemas.openxmlformats.org/drawingml/2006/picture">
            <wp:extent cx="5715000" cy="3706448"/>
            <wp:docPr id="19" name="Picture 19"/>
            <wp:cNvGraphicFramePr>
              <a:graphicFrameLocks noChangeAspect="1"/>
            </wp:cNvGraphicFramePr>
            <a:graphic>
              <a:graphicData uri="http://schemas.openxmlformats.org/drawingml/2006/picture">
                <pic:pic>
                  <pic:nvPicPr>
                    <pic:cNvPr id="0" name="plot_02_proxy_vs_throughput.png"/>
                    <pic:cNvPicPr/>
                  </pic:nvPicPr>
                  <pic:blipFill>
                    <a:blip r:embed="rId26"/>
                    <a:stretch>
                      <a:fillRect/>
                    </a:stretch>
                  </pic:blipFill>
                  <pic:spPr>
                    <a:xfrm>
                      <a:off x="0" y="0"/>
                      <a:ext cx="5715000" cy="3706448"/>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3713408"/>
            <wp:docPr id="20" name="Picture 20"/>
            <wp:cNvGraphicFramePr>
              <a:graphicFrameLocks noChangeAspect="1"/>
            </wp:cNvGraphicFramePr>
            <a:graphic>
              <a:graphicData uri="http://schemas.openxmlformats.org/drawingml/2006/picture">
                <pic:pic>
                  <pic:nvPicPr>
                    <pic:cNvPr id="0" name="plot_03_heatmap_density_05.png"/>
                    <pic:cNvPicPr/>
                  </pic:nvPicPr>
                  <pic:blipFill>
                    <a:blip r:embed="rId27"/>
                    <a:stretch>
                      <a:fillRect/>
                    </a:stretch>
                  </pic:blipFill>
                  <pic:spPr>
                    <a:xfrm>
                      <a:off x="0" y="0"/>
                      <a:ext cx="5715000" cy="3713408"/>
                    </a:xfrm>
                    <a:prstGeom prst="rect"/>
                  </pic:spPr>
                </pic:pic>
              </a:graphicData>
            </a:graphic>
          </wp:inline>
        </w:drawing>
      </w:r>
    </w:p>
    <w:p>
      <w:pPr>
        <w:pStyle w:val="ListBullet"/>
      </w:pPr>
      <w:r>
        <w:t>plot_04_superficial_velocity_vs_throughput.png</w:t>
      </w:r>
    </w:p>
    <w:p>
      <w:r>
        <w:drawing>
          <wp:inline xmlns:a="http://schemas.openxmlformats.org/drawingml/2006/main" xmlns:pic="http://schemas.openxmlformats.org/drawingml/2006/picture">
            <wp:extent cx="5715000" cy="3706448"/>
            <wp:docPr id="21" name="Picture 21"/>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28"/>
                    <a:stretch>
                      <a:fillRect/>
                    </a:stretch>
                  </pic:blipFill>
                  <pic:spPr>
                    <a:xfrm>
                      <a:off x="0" y="0"/>
                      <a:ext cx="5715000" cy="3706448"/>
                    </a:xfrm>
                    <a:prstGeom prst="rect"/>
                  </pic:spPr>
                </pic:pic>
              </a:graphicData>
            </a:graphic>
          </wp:inline>
        </w:drawing>
      </w:r>
    </w:p>
    <w:p>
      <w:pPr>
        <w:pStyle w:val="ListBullet"/>
      </w:pPr>
      <w:r>
        <w:t>plot_05_optical_mass_per_refresh.png</w:t>
      </w:r>
    </w:p>
    <w:p>
      <w:r>
        <w:drawing>
          <wp:inline xmlns:a="http://schemas.openxmlformats.org/drawingml/2006/main" xmlns:pic="http://schemas.openxmlformats.org/drawingml/2006/picture">
            <wp:extent cx="5715000" cy="3706448"/>
            <wp:docPr id="22" name="Picture 22"/>
            <wp:cNvGraphicFramePr>
              <a:graphicFrameLocks noChangeAspect="1"/>
            </wp:cNvGraphicFramePr>
            <a:graphic>
              <a:graphicData uri="http://schemas.openxmlformats.org/drawingml/2006/picture">
                <pic:pic>
                  <pic:nvPicPr>
                    <pic:cNvPr id="0" name="plot_05_optical_mass_per_refresh.png"/>
                    <pic:cNvPicPr/>
                  </pic:nvPicPr>
                  <pic:blipFill>
                    <a:blip r:embed="rId29"/>
                    <a:stretch>
                      <a:fillRect/>
                    </a:stretch>
                  </pic:blipFill>
                  <pic:spPr>
                    <a:xfrm>
                      <a:off x="0" y="0"/>
                      <a:ext cx="5715000" cy="3706448"/>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3713408"/>
            <wp:docPr id="23" name="Picture 23"/>
            <wp:cNvGraphicFramePr>
              <a:graphicFrameLocks noChangeAspect="1"/>
            </wp:cNvGraphicFramePr>
            <a:graphic>
              <a:graphicData uri="http://schemas.openxmlformats.org/drawingml/2006/picture">
                <pic:pic>
                  <pic:nvPicPr>
                    <pic:cNvPr id="0" name="plot_06_contour_density_06.png"/>
                    <pic:cNvPicPr/>
                  </pic:nvPicPr>
                  <pic:blipFill>
                    <a:blip r:embed="rId30"/>
                    <a:stretch>
                      <a:fillRect/>
                    </a:stretch>
                  </pic:blipFill>
                  <pic:spPr>
                    <a:xfrm>
                      <a:off x="0" y="0"/>
                      <a:ext cx="5715000" cy="3713408"/>
                    </a:xfrm>
                    <a:prstGeom prst="rect"/>
                  </pic:spPr>
                </pic:pic>
              </a:graphicData>
            </a:graphic>
          </wp:inline>
        </w:drawing>
      </w:r>
    </w:p>
    <w:p>
      <w:pPr>
        <w:pStyle w:val="ListBullet"/>
      </w:pPr>
      <w:r>
        <w:t>plot_07_passed_mass_vs_throughput.png</w:t>
      </w:r>
    </w:p>
    <w:p>
      <w:r>
        <w:drawing>
          <wp:inline xmlns:a="http://schemas.openxmlformats.org/drawingml/2006/main" xmlns:pic="http://schemas.openxmlformats.org/drawingml/2006/picture">
            <wp:extent cx="5715000" cy="3706448"/>
            <wp:docPr id="24" name="Picture 24"/>
            <wp:cNvGraphicFramePr>
              <a:graphicFrameLocks noChangeAspect="1"/>
            </wp:cNvGraphicFramePr>
            <a:graphic>
              <a:graphicData uri="http://schemas.openxmlformats.org/drawingml/2006/picture">
                <pic:pic>
                  <pic:nvPicPr>
                    <pic:cNvPr id="0" name="plot_07_passed_mass_vs_throughput.png"/>
                    <pic:cNvPicPr/>
                  </pic:nvPicPr>
                  <pic:blipFill>
                    <a:blip r:embed="rId31"/>
                    <a:stretch>
                      <a:fillRect/>
                    </a:stretch>
                  </pic:blipFill>
                  <pic:spPr>
                    <a:xfrm>
                      <a:off x="0" y="0"/>
                      <a:ext cx="5715000" cy="3706448"/>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