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20260318_122252</w:t>
      </w:r>
    </w:p>
    <w:p>
      <w:r>
        <w:t>Notebook filename: setup_C_spiderwheel_effective_sample_size.ipynb</w:t>
      </w:r>
    </w:p>
    <w:p>
      <w:r>
        <w:t>Run directory: C:\Users\Erik\Documents\Projects\EFS\reports\setup_c\20260318_122252</w:t>
      </w:r>
    </w:p>
    <w:p>
      <w:pPr>
        <w:pStyle w:val="Heading1"/>
      </w:pPr>
      <w:r>
        <w:t>Notebook Narrative</w:t>
      </w:r>
    </w:p>
    <w:p>
      <w:pPr>
        <w:pStyle w:val="Heading1"/>
      </w:pPr>
      <w:r>
        <w:t>Setup C -- Spiderwheel-Based Refreshed Optical Mass Proxy</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optical interaction region is treated as a shallow near-surface region in front of the probe window, and the optically sampled mass is approximated from probe footprint, assumed penetration depth, and bulk density.</w:t>
      </w:r>
    </w:p>
    <w:p>
      <w:r>
        <w:t>The key physical difference from Setup B is that Setup B treats each spoon presentation as a static optical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refreshed optical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optical 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refreshed optical mass proxy per spectrum</w:t>
      </w:r>
    </w:p>
    <w:p>
      <w:pPr>
        <w:pStyle w:val="ListBullet"/>
      </w:pPr>
      <w:r>
        <w:t>sensitivity of the proxy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300614"/>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300614"/>
                    </a:xfrm>
                    <a:prstGeom prst="rect"/>
                  </pic:spPr>
                </pic:pic>
              </a:graphicData>
            </a:graphic>
          </wp:inline>
        </w:drawing>
      </w:r>
    </w:p>
    <w:p>
      <w:r>
        <w:t>First-order optical footprint and optically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1010026"/>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010026"/>
                    </a:xfrm>
                    <a:prstGeom prst="rect"/>
                  </pic:spPr>
                </pic:pic>
              </a:graphicData>
            </a:graphic>
          </wp:inline>
        </w:drawing>
      </w:r>
    </w:p>
    <w:p>
      <w:r>
        <w:drawing>
          <wp:inline xmlns:a="http://schemas.openxmlformats.org/drawingml/2006/main" xmlns:pic="http://schemas.openxmlformats.org/drawingml/2006/picture">
            <wp:extent cx="5257800" cy="1039678"/>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039678"/>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652107"/>
                    </a:xfrm>
                    <a:prstGeom prst="rect"/>
                  </pic:spPr>
                </pic:pic>
              </a:graphicData>
            </a:graphic>
          </wp:inline>
        </w:drawing>
      </w:r>
    </w:p>
    <w:p>
      <w:r>
        <w:t>Refreshed optical mass proxy during one acquisition:</w:t>
      </w:r>
    </w:p>
    <w:p>
      <w:r>
        <w:drawing>
          <wp:inline xmlns:a="http://schemas.openxmlformats.org/drawingml/2006/main" xmlns:pic="http://schemas.openxmlformats.org/drawingml/2006/picture">
            <wp:extent cx="5257800" cy="722603"/>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722603"/>
                    </a:xfrm>
                    <a:prstGeom prst="rect"/>
                  </pic:spPr>
                </pic:pic>
              </a:graphicData>
            </a:graphic>
          </wp:inline>
        </w:drawing>
      </w:r>
    </w:p>
    <w:p>
      <w:r>
        <w:t>In the current implementation, blocked time is estimated from a simple overlap-angle approximation in which finger width and probe width are converted into an angular overlap at the probe radius. This produces a deterministic blocked-time estimate for the acquisition window under the binary blocking approximation.</w:t>
      </w:r>
    </w:p>
    <w:p>
      <w:r>
        <w:t>Symbol definitions and units:</w:t>
      </w:r>
    </w:p>
    <w:p>
      <w:pPr>
        <w:pStyle w:val="ListBullet"/>
      </w:pPr>
      <w:r>
        <w:t>RPM: wheel rotation rate [rev min^-1]</w:t>
      </w:r>
    </w:p>
    <w:p>
      <w:pPr>
        <w:pStyle w:val="ListBullet"/>
      </w:pPr>
      <w:r>
        <w:t>omega: angular speed [rad s^-1]</w:t>
      </w:r>
    </w:p>
    <w:p>
      <w:pPr>
        <w:pStyle w:val="ListBullet"/>
      </w:pPr>
      <w:r>
        <w:t>r_probe: probe radial position from wheel center [cm]</w:t>
      </w:r>
    </w:p>
    <w:p>
      <w:pPr>
        <w:pStyle w:val="ListBullet"/>
      </w:pPr>
      <w:r>
        <w:t>v: tangential speed at the probe radius [cm s^-1]</w:t>
      </w:r>
    </w:p>
    <w:p>
      <w:pPr>
        <w:pStyle w:val="ListBullet"/>
      </w:pPr>
      <w:r>
        <w:t>D_probe: probe window diameter [cm] in calculations, reported as [mm] in engineering tables and labels</w:t>
      </w:r>
    </w:p>
    <w:p>
      <w:pPr>
        <w:pStyle w:val="ListBullet"/>
      </w:pPr>
      <w:r>
        <w:t>A_probe: probe optical footprint area [cm^2]</w:t>
      </w:r>
    </w:p>
    <w:p>
      <w:pPr>
        <w:pStyle w:val="ListBullet"/>
      </w:pPr>
      <w:r>
        <w:t>d_pen: assumed optical penetration depth [cm] in calculations, reported as [mm] in engineering tables and labels</w:t>
      </w:r>
    </w:p>
    <w:p>
      <w:pPr>
        <w:pStyle w:val="ListBullet"/>
      </w:pPr>
      <w:r>
        <w:t>V_opt: optically sampled volume per refresh event [cm^3]</w:t>
      </w:r>
    </w:p>
    <w:p>
      <w:pPr>
        <w:pStyle w:val="ListBullet"/>
      </w:pPr>
      <w:r>
        <w:t>rho_bulk: bulk density [g cm^-3]</w:t>
      </w:r>
    </w:p>
    <w:p>
      <w:pPr>
        <w:pStyle w:val="ListBullet"/>
      </w:pPr>
      <w:r>
        <w:t>m_opt: optically sampled mass per refresh event [g]</w:t>
      </w:r>
    </w:p>
    <w:p>
      <w:pPr>
        <w:pStyle w:val="ListBullet"/>
      </w:pPr>
      <w:r>
        <w:t>t_acq: total spectral acquisition time [s]</w:t>
      </w:r>
    </w:p>
    <w:p>
      <w:pPr>
        <w:pStyle w:val="ListBullet"/>
      </w:pPr>
      <w:r>
        <w:t>t_blocked: time during which the probe is treated as blocked by a spiderwheel finger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or renewal-count proxy during one acquisition [-]</w:t>
      </w:r>
    </w:p>
    <w:p>
      <w:pPr>
        <w:pStyle w:val="ListBullet"/>
      </w:pPr>
      <w:r>
        <w:t>m_eff,proxy: refreshed optical mass proxy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optical window, not as proof of a statistically independent new sample.</w:t>
      </w:r>
    </w:p>
    <w:p>
      <w:r>
        <w:t>Tangential speed is evaluated at the probe radius because the local renewal rate should be tied to the wheel speed where the probe actually views the material. The crossing time t_cross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optical access to powder during that interval. The resulting t_eff is therefore an effective observation time rather than the full instrument acquisition time.</w:t>
      </w:r>
    </w:p>
    <w:p>
      <w:r>
        <w:t>Nrefresh should therefore be interpreted as a deterministic renewal count, or renewal-count proxy, rather than a demonstrated count of independent samples. Powder recirculation, revisit probability, local residence-time memory, and correlation between successive refresh events are not modeled. For the same reason, meff,proxy is a refreshed optical mass proxy,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optical sampling volume approximation, Vopt = Aprobe d_pen</w:t>
      </w:r>
    </w:p>
    <w:p>
      <w:pPr>
        <w:pStyle w:val="ListBullet"/>
      </w:pPr>
      <w:r>
        <w:t>constant bulk density over the optically sampled region</w:t>
      </w:r>
    </w:p>
    <w:p>
      <w:pPr>
        <w:pStyle w:val="ListBullet"/>
      </w:pPr>
      <w:r>
        <w:t>constant assumed penetration depth for each simulation condition</w:t>
      </w:r>
    </w:p>
    <w:p>
      <w:pPr>
        <w:pStyle w:val="ListBullet"/>
      </w:pPr>
      <w:r>
        <w:t>local renewal rate represented by tangential velocity at the probe radius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optical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optically sampled mass per refresh event is estimated, then blocking is estimated, then the effective unblocked acquisition time is obtained, and only then is the refreshed optical mass proxy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opticalmassperrefreshmg: the first-order optically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or renewal-count proxy, during the unblocked part of the acquisition</w:t>
      </w:r>
    </w:p>
    <w:p>
      <w:pPr>
        <w:pStyle w:val="ListBullet"/>
      </w:pPr>
      <w:r>
        <w:t>effectivesamplemassproxymg: the refreshed optical mass proxy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Plot 1: Refreshed Optical Mass Proxy vs Penetration Depth</w:t>
      </w:r>
    </w:p>
    <w:p>
      <w:r>
        <w:t>This plot isolates how the refreshed optical mass proxy changes with penetration depth at a representative wheel speed of 20 RPM. In the present first-order volume approximation, penetration depth scales the optically sampled volume and therefore the optically sampled mass per refresh event linearly for fixed density.</w:t>
      </w:r>
    </w:p>
    <w:p>
      <w:r>
        <w:t>Comparing the density curves shows how increased bulk density multiplies that per-refresh optical mass contribution without changing the blocking geometry itself.</w:t>
      </w:r>
    </w:p>
    <w:p>
      <w:pPr>
        <w:pStyle w:val="Heading2"/>
      </w:pPr>
      <w:r>
        <w:t>Plot 2: Refreshed Optical Mass Proxy vs RPM</w:t>
      </w:r>
    </w:p>
    <w:p>
      <w:r>
        <w:t>This plot isolates the operating-speed effect at a representative penetration depth of 1.0 mm. Increasing RPM increases tangential speed at the probe radius and therefore decreases the characteristic crossing time, which tends to increase the deterministic number of renewal opportunities.</w:t>
      </w:r>
    </w:p>
    <w:p>
      <w:r>
        <w:t>That increase should not be interpreted as a direct increase in independent sample count. The plotted result is a first-order balance between faster wheel-driven renewal and the loss of effective observation time predicted by the blocking approximation.</w:t>
      </w:r>
    </w:p>
    <w:p>
      <w:pPr>
        <w:pStyle w:val="Heading2"/>
      </w:pPr>
      <w:r>
        <w:t>Plot 3: Heatmap of Refreshed Optical Mass Proxy</w:t>
      </w:r>
    </w:p>
    <w:p>
      <w:r>
        <w:t>This heatmap presents the coupled effect of RPM and penetration depth at a representative bulk density of 0.5 g/cm^3. It is useful for identifying broad operating regions rather than a single one-dimensional trend.</w:t>
      </w:r>
    </w:p>
    <w:p>
      <w:r>
        <w:t>Because both deterministic renewal count and optically sampled mass per refresh event contribute to the final proxy, the heatmap makes it easier to see where different RPM-depth combinations produce similar refreshed optical mass proxy values.</w:t>
      </w:r>
    </w:p>
    <w:p>
      <w:pPr>
        <w:pStyle w:val="Heading2"/>
      </w:pPr>
      <w:r>
        <w:t>Plot 4: Blocked Time Fraction vs RPM</w:t>
      </w:r>
    </w:p>
    <w:p>
      <w:r>
        <w:t>This plot separates the blocking model from the optical-mass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Plot 5: Optical Mass per Refresh vs Penetration Depth</w:t>
      </w:r>
    </w:p>
    <w:p>
      <w:r>
        <w:t>This plot shows the optically sampled mass per refresh event before the renewal-count multiplier is applied. It therefore isolates the optical-volume approximation from the dynamic renewal approximation.</w:t>
      </w:r>
    </w:p>
    <w:p>
      <w:r>
        <w:t>Reading Plot 5 together with Plot 1 helps distinguish two quantities that should not be conflated: mopt is the per-refresh optically sampled mass, whereas meff,proxy is the refreshed optical mass proxy accumulated over one acquisition.</w:t>
      </w:r>
    </w:p>
    <w:p>
      <w:pPr>
        <w:pStyle w:val="Heading2"/>
      </w:pPr>
      <w:r>
        <w:t>Plot 6: Contour Map of Refreshed Optical Mass Proxy</w:t>
      </w:r>
    </w:p>
    <w:p>
      <w:r>
        <w:t>This contour plot provides the same coupled RPM-depth view as the heatmap, but for the higher-density case of 0.6 g/cm^3. It is useful for visualizing smooth operating envelopes and approximate iso-proxy contours.</w:t>
      </w:r>
    </w:p>
    <w:p>
      <w:r>
        <w:t>The figure remains a first-order mechanistic map. It is useful for design sensitivity screening, but it should not be interpreted as a validated surface of statistically independent effective sample size.</w:t>
      </w:r>
    </w:p>
    <w:p>
      <w:pPr>
        <w:pStyle w:val="Heading2"/>
      </w:pPr>
      <w:r>
        <w:t>Results Interpretation</w:t>
      </w:r>
    </w:p>
    <w:p>
      <w:pPr>
        <w:pStyle w:val="ListBullet"/>
      </w:pPr>
      <w:r>
        <w:t>increasing bulk density increases the optically sampled mass per refresh event linearly in this simplified volume model and therefore increases the refreshed optical mass proxy proportionally when the renewal count is unchanged</w:t>
      </w:r>
    </w:p>
    <w:p>
      <w:pPr>
        <w:pStyle w:val="ListBullet"/>
      </w:pPr>
      <w:r>
        <w:t>increasing penetration depth increases the assumed optically sampled volume linearly and therefore increases the per-refresh optical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refreshed optical mass proxy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optical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refreshed optical mass proxy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optical weighting with depth instead of a uniform cylindrical volume approximation</w:t>
      </w:r>
    </w:p>
    <w:p>
      <w:pPr>
        <w:pStyle w:val="ListBullet"/>
      </w:pPr>
      <w:r>
        <w:t>estimate particle count as well as mass within the refreshed optical region</w:t>
      </w:r>
    </w:p>
    <w:p>
      <w:pPr>
        <w:pStyle w:val="ListBullet"/>
      </w:pPr>
      <w:r>
        <w:t>apply a correlation correction between refresh events before interpreting the result as effective sample mass</w:t>
      </w:r>
    </w:p>
    <w:p>
      <w:pPr>
        <w:pStyle w:val="ListBullet"/>
      </w:pPr>
      <w:r>
        <w:t>link refreshed optical mass proxy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refreshed optical mass proxy for a spiderwheel presentation by combining optical mass per refresh with a deterministic renewal count derived from wheel speed and blocked acquisition time.</w:t>
      </w:r>
    </w:p>
    <w:p>
      <w:pPr>
        <w:pStyle w:val="Heading1"/>
      </w:pPr>
      <w:r>
        <w:t>Assumptions</w:t>
      </w:r>
    </w:p>
    <w:p>
      <w:r>
        <w:t>Uniform bulk density, cylindrical optical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radius (cm): 1.8</w:t>
      </w:r>
    </w:p>
    <w:p>
      <w:pPr>
        <w:pStyle w:val="ListBullet"/>
      </w:pPr>
      <w:r>
        <w:t>Finger width (cm): 0.3</w:t>
      </w:r>
    </w:p>
    <w:p>
      <w:pPr>
        <w:pStyle w:val="ListBullet"/>
      </w:pPr>
      <w:r>
        <w:t>Probe diameter (mm): 5</w:t>
      </w:r>
    </w:p>
    <w:p>
      <w:pPr>
        <w:pStyle w:val="ListBullet"/>
      </w:pPr>
      <w:r>
        <w:t>Acquisition time (s): 1</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r>
        <w:t>Detailed tables are saved separately as CSV files in the run folder.</w:t>
      </w:r>
    </w:p>
    <w:p>
      <w:pPr>
        <w:pStyle w:val="Heading1"/>
      </w:pPr>
      <w:r>
        <w:t>Figures</w:t>
      </w:r>
    </w:p>
    <w:p>
      <w:pPr>
        <w:pStyle w:val="ListBullet"/>
      </w:pPr>
      <w:r>
        <w:t>plot_01_proxy_vs_penetration_depth.png</w:t>
      </w:r>
    </w:p>
    <w:p>
      <w:r>
        <w:drawing>
          <wp:inline xmlns:a="http://schemas.openxmlformats.org/drawingml/2006/main" xmlns:pic="http://schemas.openxmlformats.org/drawingml/2006/picture">
            <wp:extent cx="5715000" cy="3881000"/>
            <wp:docPr id="10" name="Picture 10"/>
            <wp:cNvGraphicFramePr>
              <a:graphicFrameLocks noChangeAspect="1"/>
            </wp:cNvGraphicFramePr>
            <a:graphic>
              <a:graphicData uri="http://schemas.openxmlformats.org/drawingml/2006/picture">
                <pic:pic>
                  <pic:nvPicPr>
                    <pic:cNvPr id="0" name="plot_01_proxy_vs_penetration_depth.png"/>
                    <pic:cNvPicPr/>
                  </pic:nvPicPr>
                  <pic:blipFill>
                    <a:blip r:embed="rId18"/>
                    <a:stretch>
                      <a:fillRect/>
                    </a:stretch>
                  </pic:blipFill>
                  <pic:spPr>
                    <a:xfrm>
                      <a:off x="0" y="0"/>
                      <a:ext cx="5715000" cy="3881000"/>
                    </a:xfrm>
                    <a:prstGeom prst="rect"/>
                  </pic:spPr>
                </pic:pic>
              </a:graphicData>
            </a:graphic>
          </wp:inline>
        </w:drawing>
      </w:r>
    </w:p>
    <w:p>
      <w:pPr>
        <w:pStyle w:val="ListBullet"/>
      </w:pPr>
      <w:r>
        <w:t>plot_02_proxy_vs_rpm.png</w:t>
      </w:r>
    </w:p>
    <w:p>
      <w:r>
        <w:drawing>
          <wp:inline xmlns:a="http://schemas.openxmlformats.org/drawingml/2006/main" xmlns:pic="http://schemas.openxmlformats.org/drawingml/2006/picture">
            <wp:extent cx="5715000" cy="3878233"/>
            <wp:docPr id="11" name="Picture 11"/>
            <wp:cNvGraphicFramePr>
              <a:graphicFrameLocks noChangeAspect="1"/>
            </wp:cNvGraphicFramePr>
            <a:graphic>
              <a:graphicData uri="http://schemas.openxmlformats.org/drawingml/2006/picture">
                <pic:pic>
                  <pic:nvPicPr>
                    <pic:cNvPr id="0" name="plot_02_proxy_vs_rpm.png"/>
                    <pic:cNvPicPr/>
                  </pic:nvPicPr>
                  <pic:blipFill>
                    <a:blip r:embed="rId19"/>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31579"/>
            <wp:docPr id="12" name="Picture 12"/>
            <wp:cNvGraphicFramePr>
              <a:graphicFrameLocks noChangeAspect="1"/>
            </wp:cNvGraphicFramePr>
            <a:graphic>
              <a:graphicData uri="http://schemas.openxmlformats.org/drawingml/2006/picture">
                <pic:pic>
                  <pic:nvPicPr>
                    <pic:cNvPr id="0" name="plot_03_heatmap_density_05.png"/>
                    <pic:cNvPicPr/>
                  </pic:nvPicPr>
                  <pic:blipFill>
                    <a:blip r:embed="rId20"/>
                    <a:stretch>
                      <a:fillRect/>
                    </a:stretch>
                  </pic:blipFill>
                  <pic:spPr>
                    <a:xfrm>
                      <a:off x="0" y="0"/>
                      <a:ext cx="5715000" cy="4031579"/>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5467"/>
            <wp:docPr id="13" name="Picture 13"/>
            <wp:cNvGraphicFramePr>
              <a:graphicFrameLocks noChangeAspect="1"/>
            </wp:cNvGraphicFramePr>
            <a:graphic>
              <a:graphicData uri="http://schemas.openxmlformats.org/drawingml/2006/picture">
                <pic:pic>
                  <pic:nvPicPr>
                    <pic:cNvPr id="0" name="plot_04_blocked_time_fraction_vs_rpm.png"/>
                    <pic:cNvPicPr/>
                  </pic:nvPicPr>
                  <pic:blipFill>
                    <a:blip r:embed="rId21"/>
                    <a:stretch>
                      <a:fillRect/>
                    </a:stretch>
                  </pic:blipFill>
                  <pic:spPr>
                    <a:xfrm>
                      <a:off x="0" y="0"/>
                      <a:ext cx="5715000" cy="3875467"/>
                    </a:xfrm>
                    <a:prstGeom prst="rect"/>
                  </pic:spPr>
                </pic:pic>
              </a:graphicData>
            </a:graphic>
          </wp:inline>
        </w:drawing>
      </w:r>
    </w:p>
    <w:p>
      <w:pPr>
        <w:pStyle w:val="ListBullet"/>
      </w:pPr>
      <w:r>
        <w:t>plot_05_optical_mass_per_refresh.png</w:t>
      </w:r>
    </w:p>
    <w:p>
      <w:r>
        <w:drawing>
          <wp:inline xmlns:a="http://schemas.openxmlformats.org/drawingml/2006/main" xmlns:pic="http://schemas.openxmlformats.org/drawingml/2006/picture">
            <wp:extent cx="5715000" cy="3881000"/>
            <wp:docPr id="14" name="Picture 14"/>
            <wp:cNvGraphicFramePr>
              <a:graphicFrameLocks noChangeAspect="1"/>
            </wp:cNvGraphicFramePr>
            <a:graphic>
              <a:graphicData uri="http://schemas.openxmlformats.org/drawingml/2006/picture">
                <pic:pic>
                  <pic:nvPicPr>
                    <pic:cNvPr id="0" name="plot_05_optical_mass_per_refresh.png"/>
                    <pic:cNvPicPr/>
                  </pic:nvPicPr>
                  <pic:blipFill>
                    <a:blip r:embed="rId22"/>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31579"/>
            <wp:docPr id="15" name="Picture 15"/>
            <wp:cNvGraphicFramePr>
              <a:graphicFrameLocks noChangeAspect="1"/>
            </wp:cNvGraphicFramePr>
            <a:graphic>
              <a:graphicData uri="http://schemas.openxmlformats.org/drawingml/2006/picture">
                <pic:pic>
                  <pic:nvPicPr>
                    <pic:cNvPr id="0" name="plot_06_contour_density_06.png"/>
                    <pic:cNvPicPr/>
                  </pic:nvPicPr>
                  <pic:blipFill>
                    <a:blip r:embed="rId23"/>
                    <a:stretch>
                      <a:fillRect/>
                    </a:stretch>
                  </pic:blipFill>
                  <pic:spPr>
                    <a:xfrm>
                      <a:off x="0" y="0"/>
                      <a:ext cx="5715000" cy="4031579"/>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