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Override PartName="/word/media/rId37.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8439063891e0377e1dc946ec7a1e2dfaddd922c"/>
    <w:p>
      <w:pPr>
        <w:pStyle w:val="Heading1"/>
      </w:pPr>
      <w:r>
        <w:t xml:space="preserve">Setup D Holdup-Adjusted Powder Flow and ESS Proxy Report</w:t>
      </w:r>
    </w:p>
    <w:p>
      <w:pPr>
        <w:pStyle w:val="FirstParagraph"/>
      </w:pPr>
      <w:r>
        <w:t xml:space="preserve">Setup: setup_d</w:t>
      </w:r>
    </w:p>
    <w:p>
      <w:pPr>
        <w:pStyle w:val="BodyText"/>
      </w:pPr>
      <w:r>
        <w:t xml:space="preserve">Report timestamp: 20260507_210218</w:t>
      </w:r>
    </w:p>
    <w:p>
      <w:pPr>
        <w:pStyle w:val="BodyText"/>
      </w:pPr>
      <w:r>
        <w:t xml:space="preserve">Source notebook: setup_D_pipe_effective_sample_size_holdup_refactor.ipynb</w:t>
      </w:r>
    </w:p>
    <w:bookmarkStart w:id="9" w:name="executive-summary"/>
    <w:p>
      <w:pPr>
        <w:pStyle w:val="Heading2"/>
      </w:pPr>
      <w:r>
        <w:t xml:space="preserve">Executive summary</w:t>
      </w:r>
    </w:p>
    <w:p>
      <w:pPr>
        <w:pStyle w:val="FirstParagraph"/>
      </w:pPr>
      <w:r>
        <w:t xml:space="preserve">Setup D now separates superficial velocity from holdup-adjusted local probe velocity and reports a one-spectrum ESS proxy as a near-wall renewal quantity. The total process mass crossing the axial location is reported separately to avoid conflating whole-stream throughput with the optical subset that contributes to one NIR spectrum.</w:t>
      </w:r>
    </w:p>
    <w:bookmarkEnd w:id="9"/>
    <w:bookmarkStart w:id="10" w:name="key-parameters"/>
    <w:p>
      <w:pPr>
        <w:pStyle w:val="Heading2"/>
      </w:pPr>
      <w:r>
        <w:t xml:space="preserve">Key parameters</w:t>
      </w:r>
    </w:p>
    <w:p>
      <w:pPr>
        <w:pStyle w:val="Compact"/>
        <w:numPr>
          <w:ilvl w:val="0"/>
          <w:numId w:val="1001"/>
        </w:numPr>
      </w:pPr>
      <w:r>
        <w:t xml:space="preserve">Pipe diameter (mm): 65</w:t>
      </w:r>
    </w:p>
    <w:p>
      <w:pPr>
        <w:pStyle w:val="Compact"/>
        <w:numPr>
          <w:ilvl w:val="0"/>
          <w:numId w:val="1001"/>
        </w:numPr>
      </w:pPr>
      <w:r>
        <w:t xml:space="preserve">Pipe tilt from vertical (deg): 26.5</w:t>
      </w:r>
    </w:p>
    <w:p>
      <w:pPr>
        <w:pStyle w:val="Compact"/>
        <w:numPr>
          <w:ilvl w:val="0"/>
          <w:numId w:val="1001"/>
        </w:numPr>
      </w:pPr>
      <w:r>
        <w:t xml:space="preserve">Probe diameter (mm): 5</w:t>
      </w:r>
    </w:p>
    <w:p>
      <w:pPr>
        <w:pStyle w:val="Compact"/>
        <w:numPr>
          <w:ilvl w:val="0"/>
          <w:numId w:val="1001"/>
        </w:numPr>
      </w:pPr>
      <w:r>
        <w:t xml:space="preserve">Acquisition time (s): 1.8</w:t>
      </w:r>
    </w:p>
    <w:p>
      <w:pPr>
        <w:pStyle w:val="Compact"/>
        <w:numPr>
          <w:ilvl w:val="0"/>
          <w:numId w:val="1001"/>
        </w:numPr>
      </w:pPr>
      <w:r>
        <w:t xml:space="preserve">Mass flow (kg/h): 95</w:t>
      </w:r>
    </w:p>
    <w:p>
      <w:pPr>
        <w:pStyle w:val="Compact"/>
        <w:numPr>
          <w:ilvl w:val="0"/>
          <w:numId w:val="1001"/>
        </w:numPr>
      </w:pPr>
      <w:r>
        <w:t xml:space="preserve">Bulk density (g/cm^3): 0.4</w:t>
      </w:r>
    </w:p>
    <w:p>
      <w:pPr>
        <w:pStyle w:val="Compact"/>
        <w:numPr>
          <w:ilvl w:val="0"/>
          <w:numId w:val="1001"/>
        </w:numPr>
      </w:pPr>
      <w:r>
        <w:t xml:space="preserve">Nominal holdup fraction: 0.3</w:t>
      </w:r>
    </w:p>
    <w:p>
      <w:pPr>
        <w:pStyle w:val="Compact"/>
        <w:numPr>
          <w:ilvl w:val="0"/>
          <w:numId w:val="1001"/>
        </w:numPr>
      </w:pPr>
      <w:r>
        <w:t xml:space="preserve">Window coverage fraction: 1</w:t>
      </w:r>
    </w:p>
    <w:p>
      <w:pPr>
        <w:pStyle w:val="Compact"/>
        <w:numPr>
          <w:ilvl w:val="0"/>
          <w:numId w:val="1001"/>
        </w:numPr>
      </w:pPr>
      <w:r>
        <w:t xml:space="preserve">Wall velocity factor: 1</w:t>
      </w:r>
    </w:p>
    <w:p>
      <w:pPr>
        <w:pStyle w:val="Compact"/>
        <w:numPr>
          <w:ilvl w:val="0"/>
          <w:numId w:val="1001"/>
        </w:numPr>
      </w:pPr>
      <w:r>
        <w:t xml:space="preserve">Optical density factor: 1</w:t>
      </w:r>
    </w:p>
    <w:p>
      <w:pPr>
        <w:pStyle w:val="Compact"/>
        <w:numPr>
          <w:ilvl w:val="0"/>
          <w:numId w:val="1001"/>
        </w:numPr>
      </w:pPr>
      <w:r>
        <w:t xml:space="preserve">Holdup sensitivity values: 1, 0.6, 0.3, 0.15, 0.1, 0.05</w:t>
      </w:r>
    </w:p>
    <w:bookmarkEnd w:id="10"/>
    <w:bookmarkStart w:id="17" w:name="background"/>
    <w:p>
      <w:pPr>
        <w:pStyle w:val="Heading2"/>
      </w:pPr>
      <w:r>
        <w:t xml:space="preserve">Background</w:t>
      </w:r>
    </w:p>
    <w:p>
      <w:pPr>
        <w:pStyle w:val="FirstParagraph"/>
      </w:pPr>
      <w:r>
        <w:t xml:space="preserve">Setup D represents an inclined powder-pipe geometry with a wall-mounted diffuse-reflectance NIR probe near the lower side of the pipe. Unlike the static bed in Setup A, the spoon presentations in Setup B, or the wheel-driven renewal in Setup C, this setup treats renewal as a flow-driven process in which fresh powder slides axially past a fixed probe during one acquisition.</w:t>
      </w:r>
    </w:p>
    <w:p>
      <w:pPr>
        <w:pStyle w:val="BodyText"/>
      </w:pPr>
      <w:r>
        <w:t xml:space="preserve">The notebook uses a first-order engineering proxy to connect transport-side renewal with optical penetration depth. The reported quantity is a refresh-based proxy effective mass, intended for comparative sensitivity analysis and design-stage interpretation rather than as a validated independent sample mass.</w:t>
      </w:r>
      <w:r>
        <w:t xml:space="preserve"> </w:t>
      </w:r>
      <w:r>
        <w:t xml:space="preserve">## Objective</w:t>
      </w:r>
    </w:p>
    <w:p>
      <w:pPr>
        <w:pStyle w:val="BodyText"/>
      </w:pPr>
      <w:r>
        <w:t xml:space="preserve">This notebook estimates, for Setup D:</w:t>
      </w:r>
    </w:p>
    <w:p>
      <w:pPr>
        <w:pStyle w:val="Compact"/>
        <w:numPr>
          <w:ilvl w:val="0"/>
          <w:numId w:val="1002"/>
        </w:numPr>
      </w:pPr>
      <w:r>
        <w:t xml:space="preserve">superficial velocity from mass balance</w:t>
      </w:r>
    </w:p>
    <w:p>
      <w:pPr>
        <w:pStyle w:val="Compact"/>
        <w:numPr>
          <w:ilvl w:val="0"/>
          <w:numId w:val="1002"/>
        </w:numPr>
      </w:pPr>
      <w:r>
        <w:t xml:space="preserve">apparent solids holdup at the probe location</w:t>
      </w:r>
    </w:p>
    <w:p>
      <w:pPr>
        <w:pStyle w:val="Compact"/>
        <w:numPr>
          <w:ilvl w:val="0"/>
          <w:numId w:val="1002"/>
        </w:numPr>
      </w:pPr>
      <w:r>
        <w:t xml:space="preserve">estimated local powder velocity near the NIR window</w:t>
      </w:r>
    </w:p>
    <w:p>
      <w:pPr>
        <w:pStyle w:val="Compact"/>
        <w:numPr>
          <w:ilvl w:val="0"/>
          <w:numId w:val="1002"/>
        </w:numPr>
      </w:pPr>
      <w:r>
        <w:t xml:space="preserve">renewal rate in front of the probe during one acquisition</w:t>
      </w:r>
    </w:p>
    <w:p>
      <w:pPr>
        <w:pStyle w:val="Compact"/>
        <w:numPr>
          <w:ilvl w:val="0"/>
          <w:numId w:val="1002"/>
        </w:numPr>
      </w:pPr>
      <w:r>
        <w:t xml:space="preserve">holdup-adjusted effective sample size proxy for one spectrum</w:t>
      </w:r>
    </w:p>
    <w:p>
      <w:pPr>
        <w:pStyle w:val="Compact"/>
        <w:numPr>
          <w:ilvl w:val="0"/>
          <w:numId w:val="1002"/>
        </w:numPr>
      </w:pPr>
      <w:r>
        <w:t xml:space="preserve">a separate convective swept-ribbon reference mass and the total process mass crossing the pipe section</w:t>
      </w:r>
    </w:p>
    <w:p>
      <w:pPr>
        <w:pStyle w:val="FirstParagraph"/>
      </w:pPr>
      <w:r>
        <w:t xml:space="preserve">The local velocity at the probe is not measured directly in this notebook. It is estimated from mass balance plus an apparent holdup assumption and treated as a sensitivity parameter.</w:t>
      </w:r>
      <w:r>
        <w:t xml:space="preserve"> </w:t>
      </w:r>
      <w:r>
        <w:t xml:space="preserve">## Theory</w:t>
      </w:r>
    </w:p>
    <w:bookmarkStart w:id="11" w:name="optical-sampling-concept"/>
    <w:p>
      <w:pPr>
        <w:pStyle w:val="Heading3"/>
      </w:pPr>
      <w:r>
        <w:t xml:space="preserve">Optical sampling concept</w:t>
      </w:r>
    </w:p>
    <w:p>
      <w:pPr>
        <w:pStyle w:val="FirstParagraph"/>
      </w:pPr>
      <w:r>
        <w:t xml:space="preserve">In diffuse reflectance NIR measurements, light enters a powder bed, interacts with particles over a limited depth, and a fraction of the scattered light returns to the detector. The measured spectrum therefore reflects an</w:t>
      </w:r>
      <w:r>
        <w:t xml:space="preserve"> </w:t>
      </w:r>
      <w:r>
        <w:rPr>
          <w:b/>
          <w:bCs/>
        </w:rPr>
        <w:t xml:space="preserve">optically weighted near-surface region</w:t>
      </w:r>
      <w:r>
        <w:t xml:space="preserve"> </w:t>
      </w:r>
      <w:r>
        <w:t xml:space="preserve">rather than the entire bulk stream.</w:t>
      </w:r>
    </w:p>
    <w:p>
      <w:pPr>
        <w:pStyle w:val="BodyText"/>
      </w:pPr>
      <w:r>
        <w:t xml:space="preserve">For engineering comparisons, the instantaneous optical interaction region is approximated here as a simple cylinder with:</w:t>
      </w:r>
    </w:p>
    <w:p>
      <w:pPr>
        <w:pStyle w:val="Compact"/>
        <w:numPr>
          <w:ilvl w:val="0"/>
          <w:numId w:val="1003"/>
        </w:numPr>
      </w:pPr>
      <w:r>
        <w:t xml:space="preserve">cross-sectional area equal to the probe footprint</w:t>
      </w:r>
    </w:p>
    <w:p>
      <w:pPr>
        <w:pStyle w:val="Compact"/>
        <w:numPr>
          <w:ilvl w:val="0"/>
          <w:numId w:val="1003"/>
        </w:numPr>
      </w:pPr>
      <w:r>
        <w:t xml:space="preserve">depth equal to an assumed optical penetration depth</w:t>
      </w:r>
    </w:p>
    <w:p>
      <w:pPr>
        <w:pStyle w:val="FirstParagraph"/>
      </w:pPr>
      <w:r>
        <w:t xml:space="preserve">This simplification ignores depth-dependent photon weighting, scattering anisotropy, packing-dependent path-length effects, and spectral absorption details, but it provides a transparent basis for comparative analysis.</w:t>
      </w:r>
    </w:p>
    <w:bookmarkEnd w:id="11"/>
    <w:bookmarkStart w:id="12" w:name="probe-flow-geometry"/>
    <w:p>
      <w:pPr>
        <w:pStyle w:val="Heading3"/>
      </w:pPr>
      <w:r>
        <w:t xml:space="preserve">Probe-flow geometry</w:t>
      </w:r>
    </w:p>
    <w:p>
      <w:pPr>
        <w:pStyle w:val="FirstParagraph"/>
      </w:pPr>
      <w:r>
        <w:t xml:space="preserve">In Setup D, the probe is mounted in the pipe wall and looks</w:t>
      </w:r>
      <w:r>
        <w:t xml:space="preserve"> </w:t>
      </w:r>
      <w:r>
        <w:rPr>
          <w:b/>
          <w:bCs/>
        </w:rPr>
        <w:t xml:space="preserve">radially inward</w:t>
      </w:r>
      <w:r>
        <w:t xml:space="preserve">. The powder flows</w:t>
      </w:r>
      <w:r>
        <w:t xml:space="preserve"> </w:t>
      </w:r>
      <w:r>
        <w:rPr>
          <w:b/>
          <w:bCs/>
        </w:rPr>
        <w:t xml:space="preserve">axially</w:t>
      </w:r>
      <w:r>
        <w:t xml:space="preserve"> </w:t>
      </w:r>
      <w:r>
        <w:t xml:space="preserve">along the pipe. These directions are perpendicular.</w:t>
      </w:r>
    </w:p>
    <w:p>
      <w:pPr>
        <w:pStyle w:val="BodyText"/>
      </w:pPr>
      <w:r>
        <w:t xml:space="preserve">At any instant, the probe sees a shallow optical disc of powder pressed against the wall:</w:t>
      </w:r>
    </w:p>
    <w:p>
      <w:pPr>
        <w:pStyle w:val="Compact"/>
        <w:numPr>
          <w:ilvl w:val="0"/>
          <w:numId w:val="1004"/>
        </w:numPr>
      </w:pPr>
      <w:r>
        <w:t xml:space="preserve">the disc face is the</w:t>
      </w:r>
      <w:r>
        <w:t xml:space="preserve"> </w:t>
      </w:r>
      <w:r>
        <w:rPr>
          <w:b/>
          <w:bCs/>
        </w:rPr>
        <w:t xml:space="preserve">probe footprint</w:t>
      </w:r>
      <w:r>
        <w:t xml:space="preserve"> </w:t>
      </w:r>
      <w:r>
        <w:t xml:space="preserve">with diameter</w:t>
      </w:r>
      <w:r>
        <w:t xml:space="preserve"> </w:t>
      </w:r>
      <m:oMath>
        <m:sSub>
          <m:e>
            <m:r>
              <m:t>d</m:t>
            </m:r>
          </m:e>
          <m:sub>
            <m:r>
              <m:rPr>
                <m:sty m:val="p"/>
              </m:rPr>
              <m:t>p</m:t>
            </m:r>
            <m:r>
              <m:rPr>
                <m:sty m:val="p"/>
              </m:rPr>
              <m:t>r</m:t>
            </m:r>
            <m:r>
              <m:rPr>
                <m:sty m:val="p"/>
              </m:rPr>
              <m:t>o</m:t>
            </m:r>
            <m:r>
              <m:rPr>
                <m:sty m:val="p"/>
              </m:rPr>
              <m:t>b</m:t>
            </m:r>
            <m:r>
              <m:rPr>
                <m:sty m:val="p"/>
              </m:rPr>
              <m:t>e</m:t>
            </m:r>
          </m:sub>
        </m:sSub>
      </m:oMath>
    </w:p>
    <w:p>
      <w:pPr>
        <w:pStyle w:val="Compact"/>
        <w:numPr>
          <w:ilvl w:val="0"/>
          <w:numId w:val="1004"/>
        </w:numPr>
      </w:pPr>
      <w:r>
        <w:t xml:space="preserve">the disc depth is the</w:t>
      </w:r>
      <w:r>
        <w:t xml:space="preserve"> </w:t>
      </w:r>
      <w:r>
        <w:rPr>
          <w:b/>
          <w:bCs/>
        </w:rPr>
        <w:t xml:space="preserve">optical penetration depth</w:t>
      </w:r>
      <w:r>
        <w:t xml:space="preserve"> </w:t>
      </w:r>
      <m:oMath>
        <m:sSub>
          <m:e>
            <m:r>
              <m:t>d</m:t>
            </m:r>
          </m:e>
          <m:sub>
            <m:r>
              <m:rPr>
                <m:sty m:val="p"/>
              </m:rPr>
              <m:t>p</m:t>
            </m:r>
            <m:r>
              <m:rPr>
                <m:sty m:val="p"/>
              </m:rPr>
              <m:t>e</m:t>
            </m:r>
            <m:r>
              <m:rPr>
                <m:sty m:val="p"/>
              </m:rPr>
              <m:t>n</m:t>
            </m:r>
          </m:sub>
        </m:sSub>
      </m:oMath>
      <w:r>
        <w:t xml:space="preserve"> </w:t>
      </w:r>
      <w:r>
        <w:t xml:space="preserve">extending radially into the powder</w:t>
      </w:r>
    </w:p>
    <w:p>
      <w:pPr>
        <w:pStyle w:val="FirstParagraph"/>
      </w:pPr>
      <w:r>
        <w:t xml:space="preserve">Because the probe looks perpendicular to the flow, renewal occurs by material sliding</w:t>
      </w:r>
      <w:r>
        <w:t xml:space="preserve"> </w:t>
      </w:r>
      <w:r>
        <w:rPr>
          <w:b/>
          <w:bCs/>
        </w:rPr>
        <w:t xml:space="preserve">across</w:t>
      </w:r>
      <w:r>
        <w:t xml:space="preserve"> </w:t>
      </w:r>
      <w:r>
        <w:t xml:space="preserve">the probe window rather than being pushed</w:t>
      </w:r>
      <w:r>
        <w:t xml:space="preserve"> </w:t>
      </w:r>
      <w:r>
        <w:rPr>
          <w:b/>
          <w:bCs/>
        </w:rPr>
        <w:t xml:space="preserve">into</w:t>
      </w:r>
      <w:r>
        <w:t xml:space="preserve"> </w:t>
      </w:r>
      <w:r>
        <w:t xml:space="preserve">it. The flow supplies fresh material axially, while the light samples radially.</w:t>
      </w:r>
    </w:p>
    <w:bookmarkEnd w:id="12"/>
    <w:bookmarkStart w:id="13" w:name="why-a-renewal-model-is-appropriate"/>
    <w:p>
      <w:pPr>
        <w:pStyle w:val="Heading3"/>
      </w:pPr>
      <w:r>
        <w:t xml:space="preserve">Why a renewal model is appropriate</w:t>
      </w:r>
    </w:p>
    <w:p>
      <w:pPr>
        <w:pStyle w:val="FirstParagraph"/>
      </w:pPr>
      <w:r>
        <w:t xml:space="preserve">During one acquisition, the probe does not observe a single static neighborhood of powder. Instead, moving material repeatedly replaces the near-wall region in front of the probe. A renewal model is therefore a natural first-order way to connect powder motion to the mass that can contribute to one spectrum.</w:t>
      </w:r>
    </w:p>
    <w:bookmarkEnd w:id="13"/>
    <w:bookmarkStart w:id="14" w:name="why-superficial-velocity-is-still-useful"/>
    <w:p>
      <w:pPr>
        <w:pStyle w:val="Heading3"/>
      </w:pPr>
      <w:r>
        <w:t xml:space="preserve">Why superficial velocity is still useful</w:t>
      </w:r>
    </w:p>
    <w:p>
      <w:pPr>
        <w:pStyle w:val="FirstParagraph"/>
      </w:pPr>
      <w:r>
        <w:t xml:space="preserve">The notebook uses a</w:t>
      </w:r>
      <w:r>
        <w:t xml:space="preserve"> </w:t>
      </w:r>
      <w:r>
        <w:rPr>
          <w:b/>
          <w:bCs/>
        </w:rPr>
        <w:t xml:space="preserve">superficial bulk velocity</w:t>
      </w:r>
      <w:r>
        <w:t xml:space="preserve"> </w:t>
      </w:r>
      <w:r>
        <w:t xml:space="preserve">to estimate the renewal driver from throughput, bulk density, and full pipe cross-sectional area. This is a deliberate engineering approximation: the local wall velocity may differ from the cross-sectional average, but the superficial velocity still provides a transparent transport-side baseline for sensitivity analysis and model comparison.</w:t>
      </w:r>
      <w:r>
        <w:t xml:space="preserve"> </w:t>
      </w:r>
      <w:r>
        <w:t xml:space="preserve">## Velocity framework: superficial velocity, holdup, and local probe velocity</w:t>
      </w:r>
    </w:p>
    <w:p>
      <w:pPr>
        <w:pStyle w:val="BodyText"/>
      </w:pPr>
      <w:r>
        <w:t xml:space="preserve">The mass flow gives a superficial velocity,</w:t>
      </w:r>
      <w:r>
        <w:t xml:space="preserve"> </w:t>
      </w:r>
      <m:oMath>
        <m:sSub>
          <m:e>
            <m:r>
              <m:t>v</m:t>
            </m:r>
          </m:e>
          <m:sub>
            <m:r>
              <m:t>s</m:t>
            </m:r>
            <m:r>
              <m:t>u</m:t>
            </m:r>
            <m:r>
              <m:t>p</m:t>
            </m:r>
          </m:sub>
        </m:sSub>
      </m:oMath>
      <w:r>
        <w:t xml:space="preserve">, by dividing throughput by the product of flow bulk density and the full pipe cross-sectional area. This value is useful, but it is not automatically the velocity seen by the wall-mounted NIR probe.</w:t>
      </w:r>
    </w:p>
    <w:p>
      <w:pPr>
        <w:pStyle w:val="BodyText"/>
      </w:pPr>
      <w:r>
        <w:t xml:space="preserve">In a completely filled pipe,</w:t>
      </w:r>
      <w:r>
        <w:t xml:space="preserve"> </w:t>
      </w:r>
      <m:oMath>
        <m:sSub>
          <m:e>
            <m:r>
              <m:t>v</m:t>
            </m:r>
          </m:e>
          <m:sub>
            <m:r>
              <m:t>s</m:t>
            </m:r>
            <m:r>
              <m:t>u</m:t>
            </m:r>
            <m:r>
              <m:t>p</m:t>
            </m:r>
          </m:sub>
        </m:sSub>
      </m:oMath>
      <w:r>
        <w:t xml:space="preserve"> </w:t>
      </w:r>
      <w:r>
        <w:t xml:space="preserve">would equal the cross-sectional mean axial powder velocity. In a partially occupied gravity-flow pipe, the same mass flow passes through a smaller moving-powder area, so the occupied-region velocity is higher than the superficial velocity. The notebook represents this with an apparent cross-sectional solids holdup,</w:t>
      </w:r>
      <w:r>
        <w:t xml:space="preserve"> </w:t>
      </w:r>
      <m:oMath>
        <m:sSub>
          <m:e>
            <m:r>
              <m:t>ϕ</m:t>
            </m:r>
          </m:e>
          <m:sub>
            <m:r>
              <m:t>A</m:t>
            </m:r>
          </m:sub>
        </m:sSub>
      </m:oMath>
      <w:r>
        <w:t xml:space="preserve">:</w:t>
      </w:r>
    </w:p>
    <w:p>
      <w:pPr>
        <w:pStyle w:val="BodyText"/>
      </w:pPr>
      <m:oMathPara>
        <m:oMathParaPr>
          <m:jc m:val="center"/>
        </m:oMathParaPr>
        <m:oMath>
          <m:sSub>
            <m:e>
              <m:r>
                <m:t>v</m:t>
              </m:r>
            </m:e>
            <m:sub>
              <m:r>
                <m:t>o</m:t>
              </m:r>
              <m:r>
                <m:t>c</m:t>
              </m:r>
              <m:r>
                <m:t>c</m:t>
              </m:r>
            </m:sub>
          </m:sSub>
          <m:r>
            <m:rPr>
              <m:sty m:val="p"/>
            </m:rPr>
            <m:t>=</m:t>
          </m:r>
          <m:f>
            <m:fPr>
              <m:type m:val="bar"/>
            </m:fPr>
            <m:num>
              <m:sSub>
                <m:e>
                  <m:r>
                    <m:t>v</m:t>
                  </m:r>
                </m:e>
                <m:sub>
                  <m:r>
                    <m:t>s</m:t>
                  </m:r>
                  <m:r>
                    <m:t>u</m:t>
                  </m:r>
                  <m:r>
                    <m:t>p</m:t>
                  </m:r>
                </m:sub>
              </m:sSub>
            </m:num>
            <m:den>
              <m:sSub>
                <m:e>
                  <m:r>
                    <m:t>ϕ</m:t>
                  </m:r>
                </m:e>
                <m:sub>
                  <m:r>
                    <m:t>A</m:t>
                  </m:r>
                </m:sub>
              </m:sSub>
            </m:den>
          </m:f>
        </m:oMath>
      </m:oMathPara>
    </w:p>
    <w:p>
      <w:pPr>
        <w:pStyle w:val="FirstParagraph"/>
      </w:pPr>
      <w:r>
        <w:t xml:space="preserve">The probe-region velocity used for renewal is then:</w:t>
      </w:r>
    </w:p>
    <w:p>
      <w:pPr>
        <w:pStyle w:val="BodyText"/>
      </w:pPr>
      <m:oMathPara>
        <m:oMathParaPr>
          <m:jc m:val="center"/>
        </m:oMathParaPr>
        <m:oMath>
          <m:sSub>
            <m:e>
              <m:r>
                <m:t>v</m:t>
              </m:r>
            </m:e>
            <m:sub>
              <m:r>
                <m:t>p</m:t>
              </m:r>
              <m:r>
                <m:t>r</m:t>
              </m:r>
              <m:r>
                <m:t>o</m:t>
              </m:r>
              <m:r>
                <m:t>b</m:t>
              </m:r>
              <m:r>
                <m:t>e</m:t>
              </m:r>
            </m:sub>
          </m:sSub>
          <m:r>
            <m:rPr>
              <m:sty m:val="p"/>
            </m:rPr>
            <m:t>=</m:t>
          </m:r>
          <m:sSub>
            <m:e>
              <m:r>
                <m:t>k</m:t>
              </m:r>
            </m:e>
            <m:sub>
              <m:r>
                <m:t>w</m:t>
              </m:r>
              <m:r>
                <m:t>a</m:t>
              </m:r>
              <m:r>
                <m:t>l</m:t>
              </m:r>
              <m:r>
                <m:t>l</m:t>
              </m:r>
            </m:sub>
          </m:sSub>
          <m:r>
            <m:t> </m:t>
          </m:r>
          <m:f>
            <m:fPr>
              <m:type m:val="bar"/>
            </m:fPr>
            <m:num>
              <m:sSub>
                <m:e>
                  <m:r>
                    <m:t>v</m:t>
                  </m:r>
                </m:e>
                <m:sub>
                  <m:r>
                    <m:t>s</m:t>
                  </m:r>
                  <m:r>
                    <m:t>u</m:t>
                  </m:r>
                  <m:r>
                    <m:t>p</m:t>
                  </m:r>
                </m:sub>
              </m:sSub>
            </m:num>
            <m:den>
              <m:sSub>
                <m:e>
                  <m:r>
                    <m:t>ϕ</m:t>
                  </m:r>
                </m:e>
                <m:sub>
                  <m:r>
                    <m:t>A</m:t>
                  </m:r>
                </m:sub>
              </m:sSub>
            </m:den>
          </m:f>
        </m:oMath>
      </m:oMathPara>
    </w:p>
    <w:p>
      <w:pPr>
        <w:pStyle w:val="FirstParagraph"/>
      </w:pPr>
      <w:r>
        <w:t xml:space="preserve">Here</w:t>
      </w:r>
      <w:r>
        <w:t xml:space="preserve"> </w:t>
      </w:r>
      <m:oMath>
        <m:sSub>
          <m:e>
            <m:r>
              <m:t>k</m:t>
            </m:r>
          </m:e>
          <m:sub>
            <m:r>
              <m:t>w</m:t>
            </m:r>
            <m:r>
              <m:t>a</m:t>
            </m:r>
            <m:r>
              <m:t>l</m:t>
            </m:r>
            <m:r>
              <m:t>l</m:t>
            </m:r>
          </m:sub>
        </m:sSub>
      </m:oMath>
      <w:r>
        <w:t xml:space="preserve"> </w:t>
      </w:r>
      <w:r>
        <w:t xml:space="preserve">is an optional wall velocity factor. Values below 1 represent slower wall-adjacent powder; values above 1 represent a faster local stream intersecting the probe. The nominal model uses</w:t>
      </w:r>
      <w:r>
        <w:t xml:space="preserve"> </w:t>
      </w:r>
      <m:oMath>
        <m:sSub>
          <m:e>
            <m:r>
              <m:t>ϕ</m:t>
            </m:r>
          </m:e>
          <m:sub>
            <m:r>
              <m:t>A</m:t>
            </m:r>
          </m:sub>
        </m:sSub>
        <m:r>
          <m:rPr>
            <m:sty m:val="p"/>
          </m:rPr>
          <m:t>=</m:t>
        </m:r>
        <m:r>
          <m:t>0.30</m:t>
        </m:r>
      </m:oMath>
      <w:r>
        <w:t xml:space="preserve"> </w:t>
      </w:r>
      <w:r>
        <w:t xml:space="preserve">and</w:t>
      </w:r>
      <w:r>
        <w:t xml:space="preserve"> </w:t>
      </w:r>
      <m:oMath>
        <m:sSub>
          <m:e>
            <m:r>
              <m:t>k</m:t>
            </m:r>
          </m:e>
          <m:sub>
            <m:r>
              <m:t>w</m:t>
            </m:r>
            <m:r>
              <m:t>a</m:t>
            </m:r>
            <m:r>
              <m:t>l</m:t>
            </m:r>
            <m:r>
              <m:t>l</m:t>
            </m:r>
          </m:sub>
        </m:sSub>
        <m:r>
          <m:rPr>
            <m:sty m:val="p"/>
          </m:rPr>
          <m:t>=</m:t>
        </m:r>
        <m:r>
          <m:t>1.0</m:t>
        </m:r>
      </m:oMath>
      <w:r>
        <w:t xml:space="preserve">, but</w:t>
      </w:r>
      <w:r>
        <w:t xml:space="preserve"> </w:t>
      </w:r>
      <m:oMath>
        <m:sSub>
          <m:e>
            <m:r>
              <m:t>ϕ</m:t>
            </m:r>
          </m:e>
          <m:sub>
            <m:r>
              <m:t>A</m:t>
            </m:r>
          </m:sub>
        </m:sSub>
      </m:oMath>
      <w:r>
        <w:t xml:space="preserve"> </w:t>
      </w:r>
      <w:r>
        <w:t xml:space="preserve">is treated as a sensitivity parameter rather than a measured constant.</w:t>
      </w:r>
      <w:r>
        <w:t xml:space="preserve"> </w:t>
      </w:r>
      <w:r>
        <w:t xml:space="preserve">## Practical note on velocity estimation without high-speed imaging</w:t>
      </w:r>
    </w:p>
    <w:p>
      <w:pPr>
        <w:pStyle w:val="BodyText"/>
      </w:pPr>
      <w:r>
        <w:t xml:space="preserve">The true local powder velocity at the NIR window is not measured in the present setup. The preferred evidence would be high-speed video, particle tracking, or a dedicated time-of-flight measurement close to the probe. Without those data, the notebook does not claim direct validation of</w:t>
      </w:r>
      <w:r>
        <w:t xml:space="preserve"> </w:t>
      </w:r>
      <m:oMath>
        <m:sSub>
          <m:e>
            <m:r>
              <m:t>v</m:t>
            </m:r>
          </m:e>
          <m:sub>
            <m:r>
              <m:t>p</m:t>
            </m:r>
            <m:r>
              <m:t>r</m:t>
            </m:r>
            <m:r>
              <m:t>o</m:t>
            </m:r>
            <m:r>
              <m:t>b</m:t>
            </m:r>
            <m:r>
              <m:t>e</m:t>
            </m:r>
          </m:sub>
        </m:sSub>
      </m:oMath>
      <w:r>
        <w:t xml:space="preserve">.</w:t>
      </w:r>
    </w:p>
    <w:p>
      <w:pPr>
        <w:pStyle w:val="BodyText"/>
      </w:pPr>
      <w:r>
        <w:t xml:space="preserve">Literature powder velocities are also not used as the primary basis for the calculation. Granular flow velocity depends strongly on powder properties, wall friction, aeration state, fill level, pipe geometry, and local flow regime, so a generic literature value would be hard to defend for this specific probe location.</w:t>
      </w:r>
    </w:p>
    <w:p>
      <w:pPr>
        <w:pStyle w:val="BodyText"/>
      </w:pPr>
      <w:r>
        <w:t xml:space="preserve">The best available framework is therefore mass-balance based: known throughput defines</w:t>
      </w:r>
      <w:r>
        <w:t xml:space="preserve"> </w:t>
      </w:r>
      <m:oMath>
        <m:sSub>
          <m:e>
            <m:r>
              <m:t>v</m:t>
            </m:r>
          </m:e>
          <m:sub>
            <m:r>
              <m:t>s</m:t>
            </m:r>
            <m:r>
              <m:t>u</m:t>
            </m:r>
            <m:r>
              <m:t>p</m:t>
            </m:r>
          </m:sub>
        </m:sSub>
      </m:oMath>
      <w:r>
        <w:t xml:space="preserve">, apparent holdup converts it to an occupied-region velocity, and the wall factor optionally adjusts that estimate at the NIR window. This makes the local velocity estimate explicit and auditable, while the holdup sensitivity table communicates the uncertainty caused by the missing direct velocity measurement.</w:t>
      </w:r>
      <w:r>
        <w:t xml:space="preserve"> </w:t>
      </w:r>
      <w:r>
        <w:t xml:space="preserve">## Assumptions</w:t>
      </w:r>
    </w:p>
    <w:p>
      <w:pPr>
        <w:pStyle w:val="Compact"/>
        <w:numPr>
          <w:ilvl w:val="0"/>
          <w:numId w:val="1005"/>
        </w:numPr>
      </w:pPr>
      <w:r>
        <w:t xml:space="preserve">Powder density used for the flow calculation represents the relevant dynamic bulk density unless otherwise specified.</w:t>
      </w:r>
    </w:p>
    <w:p>
      <w:pPr>
        <w:pStyle w:val="Compact"/>
        <w:numPr>
          <w:ilvl w:val="0"/>
          <w:numId w:val="1005"/>
        </w:numPr>
      </w:pPr>
      <w:r>
        <w:t xml:space="preserve">The NIR optical density is initially assumed equal to the flow bulk density.</w:t>
      </w:r>
    </w:p>
    <w:p>
      <w:pPr>
        <w:pStyle w:val="Compact"/>
        <w:numPr>
          <w:ilvl w:val="0"/>
          <w:numId w:val="1005"/>
        </w:numPr>
      </w:pPr>
      <w:r>
        <w:t xml:space="preserve">The nominal apparent holdup fraction is 0.30, based on visual engineering assessment.</w:t>
      </w:r>
    </w:p>
    <w:p>
      <w:pPr>
        <w:pStyle w:val="Compact"/>
        <w:numPr>
          <w:ilvl w:val="0"/>
          <w:numId w:val="1005"/>
        </w:numPr>
      </w:pPr>
      <w:r>
        <w:t xml:space="preserve">The actual holdup is uncertain and must be explored by sensitivity analysis.</w:t>
      </w:r>
    </w:p>
    <w:p>
      <w:pPr>
        <w:pStyle w:val="Compact"/>
        <w:numPr>
          <w:ilvl w:val="0"/>
          <w:numId w:val="1005"/>
        </w:numPr>
      </w:pPr>
      <w:r>
        <w:t xml:space="preserve">The nominal window coverage fraction is 1.0.</w:t>
      </w:r>
    </w:p>
    <w:p>
      <w:pPr>
        <w:pStyle w:val="Compact"/>
        <w:numPr>
          <w:ilvl w:val="0"/>
          <w:numId w:val="1005"/>
        </w:numPr>
      </w:pPr>
      <w:r>
        <w:t xml:space="preserve">The nominal wall velocity factor is 1.0.</w:t>
      </w:r>
    </w:p>
    <w:p>
      <w:pPr>
        <w:pStyle w:val="Compact"/>
        <w:numPr>
          <w:ilvl w:val="0"/>
          <w:numId w:val="1005"/>
        </w:numPr>
      </w:pPr>
      <w:r>
        <w:t xml:space="preserve">The model estimates an apparent local velocity, not a directly measured particle velocity.</w:t>
      </w:r>
    </w:p>
    <w:p>
      <w:pPr>
        <w:pStyle w:val="Compact"/>
        <w:numPr>
          <w:ilvl w:val="0"/>
          <w:numId w:val="1005"/>
        </w:numPr>
      </w:pPr>
      <w:r>
        <w:t xml:space="preserve">The ESS proxy describes near-wall material contributing to the NIR signal, not the full mass passing through the pipe.</w:t>
      </w:r>
      <w:r>
        <w:t xml:space="preserve"> </w:t>
      </w:r>
      <w:r>
        <w:t xml:space="preserve">## Input Parameters</w:t>
      </w:r>
    </w:p>
    <w:p>
      <w:pPr>
        <w:pStyle w:val="FirstParagraph"/>
      </w:pPr>
      <w:r>
        <w:t xml:space="preserve">Baseline geometry, acquisition settings, holdup assumptions, and sensitivity ranges are defined below. Engineering units are shown in the input block for readability, while calculations use consistent cm, g, and s units.</w:t>
      </w:r>
    </w:p>
    <w:p>
      <w:pPr>
        <w:pStyle w:val="BodyText"/>
      </w:pPr>
      <w:r>
        <w:t xml:space="preserve">The baseline worked example uses:</w:t>
      </w:r>
    </w:p>
    <w:p>
      <w:pPr>
        <w:pStyle w:val="Compact"/>
        <w:numPr>
          <w:ilvl w:val="0"/>
          <w:numId w:val="1006"/>
        </w:numPr>
      </w:pPr>
      <w:r>
        <w:t xml:space="preserve">mass flow = 95 kg/h</w:t>
      </w:r>
    </w:p>
    <w:p>
      <w:pPr>
        <w:pStyle w:val="Compact"/>
        <w:numPr>
          <w:ilvl w:val="0"/>
          <w:numId w:val="1006"/>
        </w:numPr>
      </w:pPr>
      <w:r>
        <w:t xml:space="preserve">bulk density = 0.4 g/cm^3</w:t>
      </w:r>
    </w:p>
    <w:p>
      <w:pPr>
        <w:pStyle w:val="Compact"/>
        <w:numPr>
          <w:ilvl w:val="0"/>
          <w:numId w:val="1006"/>
        </w:numPr>
      </w:pPr>
      <w:r>
        <w:t xml:space="preserve">pipe diameter = 65 mm</w:t>
      </w:r>
    </w:p>
    <w:p>
      <w:pPr>
        <w:pStyle w:val="Compact"/>
        <w:numPr>
          <w:ilvl w:val="0"/>
          <w:numId w:val="1006"/>
        </w:numPr>
      </w:pPr>
      <w:r>
        <w:t xml:space="preserve">probe diameter = 5 mm</w:t>
      </w:r>
    </w:p>
    <w:p>
      <w:pPr>
        <w:pStyle w:val="Compact"/>
        <w:numPr>
          <w:ilvl w:val="0"/>
          <w:numId w:val="1006"/>
        </w:numPr>
      </w:pPr>
      <w:r>
        <w:t xml:space="preserve">penetration depth = 1.0 mm</w:t>
      </w:r>
    </w:p>
    <w:p>
      <w:pPr>
        <w:pStyle w:val="Compact"/>
        <w:numPr>
          <w:ilvl w:val="0"/>
          <w:numId w:val="1006"/>
        </w:numPr>
      </w:pPr>
      <w:r>
        <w:t xml:space="preserve">acquisition time = 1.8 s</w:t>
      </w:r>
    </w:p>
    <w:p>
      <w:pPr>
        <w:pStyle w:val="Compact"/>
        <w:numPr>
          <w:ilvl w:val="0"/>
          <w:numId w:val="1006"/>
        </w:numPr>
      </w:pPr>
      <w:r>
        <w:t xml:space="preserve">nominal apparent holdup fraction = 0.30</w:t>
      </w:r>
    </w:p>
    <w:p>
      <w:pPr>
        <w:pStyle w:val="Compact"/>
        <w:numPr>
          <w:ilvl w:val="0"/>
          <w:numId w:val="1006"/>
        </w:numPr>
      </w:pPr>
      <w:r>
        <w:t xml:space="preserve">nominal window coverage fraction = 1.0</w:t>
      </w:r>
    </w:p>
    <w:p>
      <w:pPr>
        <w:pStyle w:val="Compact"/>
        <w:numPr>
          <w:ilvl w:val="0"/>
          <w:numId w:val="1006"/>
        </w:numPr>
      </w:pPr>
      <w:r>
        <w:t xml:space="preserve">nominal wall velocity factor = 1.0</w:t>
      </w:r>
    </w:p>
    <w:p>
      <w:pPr>
        <w:pStyle w:val="Compact"/>
        <w:numPr>
          <w:ilvl w:val="0"/>
          <w:numId w:val="1006"/>
        </w:numPr>
      </w:pPr>
      <w:r>
        <w:t xml:space="preserve">optical density factor = 1.0</w:t>
      </w:r>
      <w:r>
        <w:t xml:space="preserve"> </w:t>
      </w:r>
      <w:r>
        <w:t xml:space="preserve">## Governing Equations and Proxy Definitions</w:t>
      </w:r>
    </w:p>
    <w:p>
      <w:pPr>
        <w:pStyle w:val="FirstParagraph"/>
      </w:pPr>
      <w:r>
        <w:t xml:space="preserve">Internal units used throughout the notebook are cm, g, and s. Reported outputs are shown in practical units (mm, mg, g, kg/h) as noted.</w:t>
      </w:r>
    </w:p>
    <w:bookmarkEnd w:id="14"/>
    <w:bookmarkStart w:id="15" w:name="flow-and-velocity-model"/>
    <w:p>
      <w:pPr>
        <w:pStyle w:val="Heading3"/>
      </w:pPr>
      <w:r>
        <w:t xml:space="preserve">Flow and velocity model</w:t>
      </w:r>
    </w:p>
    <w:p>
      <w:pPr>
        <w:pStyle w:val="FirstParagraph"/>
      </w:pPr>
      <w:r>
        <w:t xml:space="preserve">Mass-flow conversion:</w:t>
      </w:r>
    </w:p>
    <w:p>
      <w:pPr>
        <w:pStyle w:val="BodyText"/>
      </w:pPr>
      <m:oMathPara>
        <m:oMathParaPr>
          <m:jc m:val="center"/>
        </m:oMathParaPr>
        <m:oMath>
          <m:sSub>
            <m:e>
              <m:acc>
                <m:accPr>
                  <m:chr m:val="̇"/>
                </m:accPr>
                <m:e>
                  <m:r>
                    <m:t>m</m:t>
                  </m:r>
                </m:e>
              </m:acc>
            </m:e>
            <m:sub>
              <m:r>
                <m:t>g</m:t>
              </m:r>
              <m:r>
                <m:rPr>
                  <m:sty m:val="p"/>
                </m:rPr>
                <m:t>/</m:t>
              </m:r>
              <m:r>
                <m:t>s</m:t>
              </m:r>
            </m:sub>
          </m:sSub>
          <m:r>
            <m:rPr>
              <m:sty m:val="p"/>
            </m:rPr>
            <m:t>=</m:t>
          </m:r>
          <m:sSub>
            <m:e>
              <m:acc>
                <m:accPr>
                  <m:chr m:val="̇"/>
                </m:accPr>
                <m:e>
                  <m:r>
                    <m:t>m</m:t>
                  </m:r>
                </m:e>
              </m:acc>
            </m:e>
            <m:sub>
              <m:r>
                <m:t>k</m:t>
              </m:r>
              <m:r>
                <m:t>g</m:t>
              </m:r>
              <m:r>
                <m:rPr>
                  <m:sty m:val="p"/>
                </m:rPr>
                <m:t>/</m:t>
              </m:r>
              <m:r>
                <m:t>h</m:t>
              </m:r>
            </m:sub>
          </m:sSub>
          <m:r>
            <m:rPr>
              <m:sty m:val="p"/>
            </m:rPr>
            <m:t>⋅</m:t>
          </m:r>
          <m:f>
            <m:fPr>
              <m:type m:val="bar"/>
            </m:fPr>
            <m:num>
              <m:r>
                <m:t>1000</m:t>
              </m:r>
            </m:num>
            <m:den>
              <m:r>
                <m:t>3600</m:t>
              </m:r>
            </m:den>
          </m:f>
        </m:oMath>
      </m:oMathPara>
    </w:p>
    <w:p>
      <w:pPr>
        <w:pStyle w:val="FirstParagraph"/>
      </w:pPr>
      <w:r>
        <w:t xml:space="preserve">Pipe area:</w:t>
      </w:r>
    </w:p>
    <w:p>
      <w:pPr>
        <w:pStyle w:val="BodyText"/>
      </w:pPr>
      <m:oMathPara>
        <m:oMathParaPr>
          <m:jc m:val="center"/>
        </m:oMathParaPr>
        <m:oMath>
          <m:sSub>
            <m:e>
              <m:r>
                <m:t>A</m:t>
              </m:r>
            </m:e>
            <m:sub>
              <m:r>
                <m:t>p</m:t>
              </m:r>
              <m:r>
                <m:t>i</m:t>
              </m:r>
              <m:r>
                <m:t>p</m:t>
              </m:r>
              <m:r>
                <m:t>e</m:t>
              </m:r>
            </m:sub>
          </m:sSub>
          <m:r>
            <m:rPr>
              <m:sty m:val="p"/>
            </m:rPr>
            <m:t>=</m:t>
          </m:r>
          <m:r>
            <m:t>π</m:t>
          </m:r>
          <m:sSup>
            <m:e>
              <m:d>
                <m:dPr>
                  <m:begChr m:val="("/>
                  <m:sepChr m:val=""/>
                  <m:endChr m:val=")"/>
                  <m:grow/>
                </m:dPr>
                <m:e>
                  <m:f>
                    <m:fPr>
                      <m:type m:val="bar"/>
                    </m:fPr>
                    <m:num>
                      <m:sSub>
                        <m:e>
                          <m:r>
                            <m:t>d</m:t>
                          </m:r>
                        </m:e>
                        <m:sub>
                          <m:r>
                            <m:t>p</m:t>
                          </m:r>
                          <m:r>
                            <m:t>i</m:t>
                          </m:r>
                          <m:r>
                            <m:t>p</m:t>
                          </m:r>
                          <m:r>
                            <m:t>e</m:t>
                          </m:r>
                        </m:sub>
                      </m:sSub>
                    </m:num>
                    <m:den>
                      <m:r>
                        <m:t>2</m:t>
                      </m:r>
                    </m:den>
                  </m:f>
                </m:e>
              </m:d>
            </m:e>
            <m:sup>
              <m:r>
                <m:t>2</m:t>
              </m:r>
            </m:sup>
          </m:sSup>
        </m:oMath>
      </m:oMathPara>
    </w:p>
    <w:p>
      <w:pPr>
        <w:pStyle w:val="FirstParagraph"/>
      </w:pPr>
      <w:r>
        <w:t xml:space="preserve">Superficial velocity from mass balance:</w:t>
      </w:r>
    </w:p>
    <w:p>
      <w:pPr>
        <w:pStyle w:val="BodyText"/>
      </w:pPr>
      <m:oMathPara>
        <m:oMathParaPr>
          <m:jc m:val="center"/>
        </m:oMathParaPr>
        <m:oMath>
          <m:sSub>
            <m:e>
              <m:r>
                <m:t>v</m:t>
              </m:r>
            </m:e>
            <m:sub>
              <m:r>
                <m:t>s</m:t>
              </m:r>
              <m:r>
                <m:t>u</m:t>
              </m:r>
              <m:r>
                <m:t>p</m:t>
              </m:r>
            </m:sub>
          </m:sSub>
          <m:r>
            <m:rPr>
              <m:sty m:val="p"/>
            </m:rPr>
            <m:t>=</m:t>
          </m:r>
          <m:f>
            <m:fPr>
              <m:type m:val="bar"/>
            </m:fPr>
            <m:num>
              <m:acc>
                <m:accPr>
                  <m:chr m:val="̇"/>
                </m:accPr>
                <m:e>
                  <m:r>
                    <m:t>m</m:t>
                  </m:r>
                </m:e>
              </m:acc>
            </m:num>
            <m:den>
              <m:sSub>
                <m:e>
                  <m:r>
                    <m:t>ρ</m:t>
                  </m:r>
                </m:e>
                <m:sub>
                  <m:r>
                    <m:t>f</m:t>
                  </m:r>
                  <m:r>
                    <m:t>l</m:t>
                  </m:r>
                  <m:r>
                    <m:t>o</m:t>
                  </m:r>
                  <m:r>
                    <m:t>w</m:t>
                  </m:r>
                </m:sub>
              </m:sSub>
              <m:r>
                <m:t> </m:t>
              </m:r>
              <m:sSub>
                <m:e>
                  <m:r>
                    <m:t>A</m:t>
                  </m:r>
                </m:e>
                <m:sub>
                  <m:r>
                    <m:t>p</m:t>
                  </m:r>
                  <m:r>
                    <m:t>i</m:t>
                  </m:r>
                  <m:r>
                    <m:t>p</m:t>
                  </m:r>
                  <m:r>
                    <m:t>e</m:t>
                  </m:r>
                </m:sub>
              </m:sSub>
            </m:den>
          </m:f>
        </m:oMath>
      </m:oMathPara>
    </w:p>
    <w:p>
      <w:pPr>
        <w:pStyle w:val="FirstParagraph"/>
      </w:pPr>
      <w:r>
        <w:t xml:space="preserve">Apparent occupied-region velocity:</w:t>
      </w:r>
    </w:p>
    <w:p>
      <w:pPr>
        <w:pStyle w:val="BodyText"/>
      </w:pPr>
      <m:oMathPara>
        <m:oMathParaPr>
          <m:jc m:val="center"/>
        </m:oMathParaPr>
        <m:oMath>
          <m:sSub>
            <m:e>
              <m:r>
                <m:t>v</m:t>
              </m:r>
            </m:e>
            <m:sub>
              <m:r>
                <m:t>o</m:t>
              </m:r>
              <m:r>
                <m:t>c</m:t>
              </m:r>
              <m:r>
                <m:t>c</m:t>
              </m:r>
            </m:sub>
          </m:sSub>
          <m:r>
            <m:rPr>
              <m:sty m:val="p"/>
            </m:rPr>
            <m:t>=</m:t>
          </m:r>
          <m:f>
            <m:fPr>
              <m:type m:val="bar"/>
            </m:fPr>
            <m:num>
              <m:sSub>
                <m:e>
                  <m:r>
                    <m:t>v</m:t>
                  </m:r>
                </m:e>
                <m:sub>
                  <m:r>
                    <m:t>s</m:t>
                  </m:r>
                  <m:r>
                    <m:t>u</m:t>
                  </m:r>
                  <m:r>
                    <m:t>p</m:t>
                  </m:r>
                </m:sub>
              </m:sSub>
            </m:num>
            <m:den>
              <m:sSub>
                <m:e>
                  <m:r>
                    <m:t>ϕ</m:t>
                  </m:r>
                </m:e>
                <m:sub>
                  <m:r>
                    <m:t>A</m:t>
                  </m:r>
                </m:sub>
              </m:sSub>
            </m:den>
          </m:f>
        </m:oMath>
      </m:oMathPara>
    </w:p>
    <w:p>
      <w:pPr>
        <w:pStyle w:val="FirstParagraph"/>
      </w:pPr>
      <w:r>
        <w:t xml:space="preserve">Estimated local probe velocity with optional wall correction:</w:t>
      </w:r>
    </w:p>
    <w:p>
      <w:pPr>
        <w:pStyle w:val="BodyText"/>
      </w:pPr>
      <m:oMathPara>
        <m:oMathParaPr>
          <m:jc m:val="center"/>
        </m:oMathParaPr>
        <m:oMath>
          <m:sSub>
            <m:e>
              <m:r>
                <m:t>v</m:t>
              </m:r>
            </m:e>
            <m:sub>
              <m:r>
                <m:t>p</m:t>
              </m:r>
              <m:r>
                <m:t>r</m:t>
              </m:r>
              <m:r>
                <m:t>o</m:t>
              </m:r>
              <m:r>
                <m:t>b</m:t>
              </m:r>
              <m:r>
                <m:t>e</m:t>
              </m:r>
            </m:sub>
          </m:sSub>
          <m:r>
            <m:rPr>
              <m:sty m:val="p"/>
            </m:rPr>
            <m:t>=</m:t>
          </m:r>
          <m:sSub>
            <m:e>
              <m:r>
                <m:t>k</m:t>
              </m:r>
            </m:e>
            <m:sub>
              <m:r>
                <m:t>w</m:t>
              </m:r>
              <m:r>
                <m:t>a</m:t>
              </m:r>
              <m:r>
                <m:t>l</m:t>
              </m:r>
              <m:r>
                <m:t>l</m:t>
              </m:r>
            </m:sub>
          </m:sSub>
          <m:r>
            <m:t> </m:t>
          </m:r>
          <m:f>
            <m:fPr>
              <m:type m:val="bar"/>
            </m:fPr>
            <m:num>
              <m:sSub>
                <m:e>
                  <m:r>
                    <m:t>v</m:t>
                  </m:r>
                </m:e>
                <m:sub>
                  <m:r>
                    <m:t>s</m:t>
                  </m:r>
                  <m:r>
                    <m:t>u</m:t>
                  </m:r>
                  <m:r>
                    <m:t>p</m:t>
                  </m:r>
                </m:sub>
              </m:sSub>
            </m:num>
            <m:den>
              <m:sSub>
                <m:e>
                  <m:r>
                    <m:t>ϕ</m:t>
                  </m:r>
                </m:e>
                <m:sub>
                  <m:r>
                    <m:t>A</m:t>
                  </m:r>
                </m:sub>
              </m:sSub>
            </m:den>
          </m:f>
        </m:oMath>
      </m:oMathPara>
    </w:p>
    <w:p>
      <w:pPr>
        <w:pStyle w:val="FirstParagraph"/>
      </w:pPr>
      <w:r>
        <w:t xml:space="preserve">where</w:t>
      </w:r>
      <w:r>
        <w:t xml:space="preserve"> </w:t>
      </w:r>
      <m:oMath>
        <m:sSub>
          <m:e>
            <m:r>
              <m:t>ϕ</m:t>
            </m:r>
          </m:e>
          <m:sub>
            <m:r>
              <m:t>A</m:t>
            </m:r>
          </m:sub>
        </m:sSub>
      </m:oMath>
      <w:r>
        <w:t xml:space="preserve"> </w:t>
      </w:r>
      <w:r>
        <w:t xml:space="preserve">is the apparent moving-powder holdup fraction, and</w:t>
      </w:r>
      <w:r>
        <w:t xml:space="preserve"> </w:t>
      </w:r>
      <m:oMath>
        <m:sSub>
          <m:e>
            <m:r>
              <m:t>k</m:t>
            </m:r>
          </m:e>
          <m:sub>
            <m:r>
              <m:t>w</m:t>
            </m:r>
            <m:r>
              <m:t>a</m:t>
            </m:r>
            <m:r>
              <m:t>l</m:t>
            </m:r>
            <m:r>
              <m:t>l</m:t>
            </m:r>
          </m:sub>
        </m:sSub>
      </m:oMath>
      <w:r>
        <w:t xml:space="preserve"> </w:t>
      </w:r>
      <w:r>
        <w:t xml:space="preserve">is an empirical wall-velocity factor.</w:t>
      </w:r>
    </w:p>
    <w:bookmarkEnd w:id="15"/>
    <w:bookmarkStart w:id="16" w:name="optical-mass-and-renewal"/>
    <w:p>
      <w:pPr>
        <w:pStyle w:val="Heading3"/>
      </w:pPr>
      <w:r>
        <w:t xml:space="preserve">Optical mass and renewal</w:t>
      </w:r>
    </w:p>
    <w:p>
      <w:pPr>
        <w:pStyle w:val="FirstParagraph"/>
      </w:pPr>
      <w:r>
        <w:t xml:space="preserve">Optical density model:</w:t>
      </w:r>
    </w:p>
    <w:p>
      <w:pPr>
        <w:pStyle w:val="BodyText"/>
      </w:pPr>
      <m:oMathPara>
        <m:oMathParaPr>
          <m:jc m:val="center"/>
        </m:oMathParaPr>
        <m:oMath>
          <m:sSub>
            <m:e>
              <m:r>
                <m:t>ρ</m:t>
              </m:r>
            </m:e>
            <m:sub>
              <m:r>
                <m:t>o</m:t>
              </m:r>
              <m:r>
                <m:t>p</m:t>
              </m:r>
              <m:r>
                <m:t>t</m:t>
              </m:r>
            </m:sub>
          </m:sSub>
          <m:r>
            <m:rPr>
              <m:sty m:val="p"/>
            </m:rPr>
            <m:t>=</m:t>
          </m:r>
          <m:sSub>
            <m:e>
              <m:r>
                <m:t>ρ</m:t>
              </m:r>
            </m:e>
            <m:sub>
              <m:r>
                <m:t>f</m:t>
              </m:r>
              <m:r>
                <m:t>l</m:t>
              </m:r>
              <m:r>
                <m:t>o</m:t>
              </m:r>
              <m:r>
                <m:t>w</m:t>
              </m:r>
            </m:sub>
          </m:sSub>
          <m:r>
            <m:rPr>
              <m:sty m:val="p"/>
            </m:rPr>
            <m:t>⋅</m:t>
          </m:r>
          <m:sSub>
            <m:e>
              <m:r>
                <m:t>f</m:t>
              </m:r>
            </m:e>
            <m:sub>
              <m:r>
                <m:t>o</m:t>
              </m:r>
              <m:r>
                <m:t>p</m:t>
              </m:r>
              <m:r>
                <m:t>t</m:t>
              </m:r>
            </m:sub>
          </m:sSub>
        </m:oMath>
      </m:oMathPara>
    </w:p>
    <w:p>
      <w:pPr>
        <w:pStyle w:val="FirstParagraph"/>
      </w:pPr>
      <w:r>
        <w:t xml:space="preserve">Probe area:</w:t>
      </w:r>
    </w:p>
    <w:p>
      <w:pPr>
        <w:pStyle w:val="BodyText"/>
      </w:pPr>
      <m:oMathPara>
        <m:oMathParaPr>
          <m:jc m:val="center"/>
        </m:oMathParaPr>
        <m:oMath>
          <m:sSub>
            <m:e>
              <m:r>
                <m:t>A</m:t>
              </m:r>
            </m:e>
            <m:sub>
              <m:r>
                <m:t>p</m:t>
              </m:r>
              <m:r>
                <m:t>r</m:t>
              </m:r>
              <m:r>
                <m:t>o</m:t>
              </m:r>
              <m:r>
                <m:t>b</m:t>
              </m:r>
              <m:r>
                <m:t>e</m:t>
              </m:r>
            </m:sub>
          </m:sSub>
          <m:r>
            <m:rPr>
              <m:sty m:val="p"/>
            </m:rPr>
            <m:t>=</m:t>
          </m:r>
          <m:r>
            <m:t>π</m:t>
          </m:r>
          <m:sSup>
            <m:e>
              <m:d>
                <m:dPr>
                  <m:begChr m:val="("/>
                  <m:sepChr m:val=""/>
                  <m:endChr m:val=")"/>
                  <m:grow/>
                </m:dPr>
                <m:e>
                  <m:f>
                    <m:fPr>
                      <m:type m:val="bar"/>
                    </m:fPr>
                    <m:num>
                      <m:sSub>
                        <m:e>
                          <m:r>
                            <m:t>d</m:t>
                          </m:r>
                        </m:e>
                        <m:sub>
                          <m:r>
                            <m:t>p</m:t>
                          </m:r>
                          <m:r>
                            <m:t>r</m:t>
                          </m:r>
                          <m:r>
                            <m:t>o</m:t>
                          </m:r>
                          <m:r>
                            <m:t>b</m:t>
                          </m:r>
                          <m:r>
                            <m:t>e</m:t>
                          </m:r>
                        </m:sub>
                      </m:sSub>
                    </m:num>
                    <m:den>
                      <m:r>
                        <m:t>2</m:t>
                      </m:r>
                    </m:den>
                  </m:f>
                </m:e>
              </m:d>
            </m:e>
            <m:sup>
              <m:r>
                <m:t>2</m:t>
              </m:r>
            </m:sup>
          </m:sSup>
        </m:oMath>
      </m:oMathPara>
    </w:p>
    <w:p>
      <w:pPr>
        <w:pStyle w:val="FirstParagraph"/>
      </w:pPr>
      <w:r>
        <w:t xml:space="preserve">Instantaneous optical mass:</w:t>
      </w:r>
    </w:p>
    <w:p>
      <w:pPr>
        <w:pStyle w:val="BodyText"/>
      </w:pPr>
      <m:oMathPara>
        <m:oMathParaPr>
          <m:jc m:val="center"/>
        </m:oMathParaPr>
        <m:oMath>
          <m:sSub>
            <m:e>
              <m:r>
                <m:t>m</m:t>
              </m:r>
            </m:e>
            <m:sub>
              <m:r>
                <m:t>i</m:t>
              </m:r>
              <m:r>
                <m:t>n</m:t>
              </m:r>
              <m:r>
                <m:t>s</m:t>
              </m:r>
              <m:r>
                <m:t>t</m:t>
              </m:r>
            </m:sub>
          </m:sSub>
          <m:r>
            <m:rPr>
              <m:sty m:val="p"/>
            </m:rPr>
            <m:t>=</m:t>
          </m:r>
          <m:sSub>
            <m:e>
              <m:r>
                <m:t>ρ</m:t>
              </m:r>
            </m:e>
            <m:sub>
              <m:r>
                <m:t>o</m:t>
              </m:r>
              <m:r>
                <m:t>p</m:t>
              </m:r>
              <m:r>
                <m:t>t</m:t>
              </m:r>
            </m:sub>
          </m:sSub>
          <m:r>
            <m:t> </m:t>
          </m:r>
          <m:sSub>
            <m:e>
              <m:r>
                <m:t>A</m:t>
              </m:r>
            </m:e>
            <m:sub>
              <m:r>
                <m:t>p</m:t>
              </m:r>
              <m:r>
                <m:t>r</m:t>
              </m:r>
              <m:r>
                <m:t>o</m:t>
              </m:r>
              <m:r>
                <m:t>b</m:t>
              </m:r>
              <m:r>
                <m:t>e</m:t>
              </m:r>
            </m:sub>
          </m:sSub>
          <m:r>
            <m:t> </m:t>
          </m:r>
          <m:sSub>
            <m:e>
              <m:r>
                <m:t>d</m:t>
              </m:r>
            </m:e>
            <m:sub>
              <m:r>
                <m:t>p</m:t>
              </m:r>
              <m:r>
                <m:t>e</m:t>
              </m:r>
              <m:r>
                <m:t>n</m:t>
              </m:r>
            </m:sub>
          </m:sSub>
        </m:oMath>
      </m:oMathPara>
    </w:p>
    <w:p>
      <w:pPr>
        <w:pStyle w:val="FirstParagraph"/>
      </w:pPr>
      <w:r>
        <w:t xml:space="preserve">Renewal factor during one acquisition:</w:t>
      </w:r>
    </w:p>
    <w:p>
      <w:pPr>
        <w:pStyle w:val="BodyText"/>
      </w:pPr>
      <m:oMathPara>
        <m:oMathParaPr>
          <m:jc m:val="center"/>
        </m:oMathParaPr>
        <m:oMath>
          <m:sSub>
            <m:e>
              <m:r>
                <m:t>N</m:t>
              </m:r>
            </m:e>
            <m:sub>
              <m:r>
                <m:t>r</m:t>
              </m:r>
              <m:r>
                <m:t>e</m:t>
              </m:r>
              <m:r>
                <m:t>f</m:t>
              </m:r>
              <m:r>
                <m:t>r</m:t>
              </m:r>
              <m:r>
                <m:t>e</m:t>
              </m:r>
              <m:r>
                <m:t>s</m:t>
              </m:r>
              <m:r>
                <m:t>h</m:t>
              </m:r>
            </m:sub>
          </m:sSub>
          <m:r>
            <m:rPr>
              <m:sty m:val="p"/>
            </m:rPr>
            <m:t>=</m:t>
          </m:r>
          <m:f>
            <m:fPr>
              <m:type m:val="bar"/>
            </m:fPr>
            <m:num>
              <m:sSub>
                <m:e>
                  <m:r>
                    <m:t>v</m:t>
                  </m:r>
                </m:e>
                <m:sub>
                  <m:r>
                    <m:t>p</m:t>
                  </m:r>
                  <m:r>
                    <m:t>r</m:t>
                  </m:r>
                  <m:r>
                    <m:t>o</m:t>
                  </m:r>
                  <m:r>
                    <m:t>b</m:t>
                  </m:r>
                  <m:r>
                    <m:t>e</m:t>
                  </m:r>
                </m:sub>
              </m:sSub>
              <m:r>
                <m:t> </m:t>
              </m:r>
              <m:sSub>
                <m:e>
                  <m:r>
                    <m:t>t</m:t>
                  </m:r>
                </m:e>
                <m:sub>
                  <m:r>
                    <m:t>a</m:t>
                  </m:r>
                  <m:r>
                    <m:t>c</m:t>
                  </m:r>
                  <m:r>
                    <m:t>q</m:t>
                  </m:r>
                </m:sub>
              </m:sSub>
              <m:r>
                <m:t> </m:t>
              </m:r>
              <m:sSub>
                <m:e>
                  <m:r>
                    <m:t>C</m:t>
                  </m:r>
                </m:e>
                <m:sub>
                  <m:r>
                    <m:t>w</m:t>
                  </m:r>
                  <m:r>
                    <m:t>i</m:t>
                  </m:r>
                  <m:r>
                    <m:t>n</m:t>
                  </m:r>
                  <m:r>
                    <m:t>d</m:t>
                  </m:r>
                  <m:r>
                    <m:t>o</m:t>
                  </m:r>
                  <m:r>
                    <m:t>w</m:t>
                  </m:r>
                </m:sub>
              </m:sSub>
            </m:num>
            <m:den>
              <m:sSub>
                <m:e>
                  <m:r>
                    <m:t>d</m:t>
                  </m:r>
                </m:e>
                <m:sub>
                  <m:r>
                    <m:t>p</m:t>
                  </m:r>
                  <m:r>
                    <m:t>r</m:t>
                  </m:r>
                  <m:r>
                    <m:t>o</m:t>
                  </m:r>
                  <m:r>
                    <m:t>b</m:t>
                  </m:r>
                  <m:r>
                    <m:t>e</m:t>
                  </m:r>
                </m:sub>
              </m:sSub>
            </m:den>
          </m:f>
        </m:oMath>
      </m:oMathPara>
    </w:p>
    <w:p>
      <w:pPr>
        <w:pStyle w:val="FirstParagraph"/>
      </w:pPr>
      <w:r>
        <w:t xml:space="preserve">Holdup-adjusted ESS proxy:</w:t>
      </w:r>
    </w:p>
    <w:p>
      <w:pPr>
        <w:pStyle w:val="BodyText"/>
      </w:pPr>
      <m:oMathPara>
        <m:oMathParaPr>
          <m:jc m:val="center"/>
        </m:oMathParaPr>
        <m:oMath>
          <m:sSub>
            <m:e>
              <m:r>
                <m:t>m</m:t>
              </m:r>
            </m:e>
            <m:sub>
              <m:r>
                <m:t>e</m:t>
              </m:r>
              <m:r>
                <m:t>f</m:t>
              </m:r>
              <m:r>
                <m:t>f</m:t>
              </m:r>
              <m:r>
                <m:rPr>
                  <m:sty m:val="p"/>
                </m:rPr>
                <m:t>,</m:t>
              </m:r>
              <m:r>
                <m:t>p</m:t>
              </m:r>
              <m:r>
                <m:t>r</m:t>
              </m:r>
              <m:r>
                <m:t>o</m:t>
              </m:r>
              <m:r>
                <m:t>x</m:t>
              </m:r>
              <m:r>
                <m:t>y</m:t>
              </m:r>
            </m:sub>
          </m:sSub>
          <m:r>
            <m:rPr>
              <m:sty m:val="p"/>
            </m:rPr>
            <m:t>=</m:t>
          </m:r>
          <m:sSub>
            <m:e>
              <m:r>
                <m:t>m</m:t>
              </m:r>
            </m:e>
            <m:sub>
              <m:r>
                <m:t>i</m:t>
              </m:r>
              <m:r>
                <m:t>n</m:t>
              </m:r>
              <m:r>
                <m:t>s</m:t>
              </m:r>
              <m:r>
                <m:t>t</m:t>
              </m:r>
            </m:sub>
          </m:sSub>
          <m:r>
            <m:t> </m:t>
          </m:r>
          <m:sSub>
            <m:e>
              <m:r>
                <m:t>N</m:t>
              </m:r>
            </m:e>
            <m:sub>
              <m:r>
                <m:t>r</m:t>
              </m:r>
              <m:r>
                <m:t>e</m:t>
              </m:r>
              <m:r>
                <m:t>f</m:t>
              </m:r>
              <m:r>
                <m:t>r</m:t>
              </m:r>
              <m:r>
                <m:t>e</m:t>
              </m:r>
              <m:r>
                <m:t>s</m:t>
              </m:r>
              <m:r>
                <m:t>h</m:t>
              </m:r>
            </m:sub>
          </m:sSub>
        </m:oMath>
      </m:oMathPara>
    </w:p>
    <w:p>
      <w:pPr>
        <w:pStyle w:val="FirstParagraph"/>
      </w:pPr>
      <w:r>
        <w:t xml:space="preserve">Convective swept-ribbon reference mass (reported separately from ESS proxy):</w:t>
      </w:r>
    </w:p>
    <w:p>
      <w:pPr>
        <w:pStyle w:val="BodyText"/>
      </w:pPr>
      <m:oMathPara>
        <m:oMathParaPr>
          <m:jc m:val="center"/>
        </m:oMathParaPr>
        <m:oMath>
          <m:sSub>
            <m:e>
              <m:r>
                <m:t>m</m:t>
              </m:r>
            </m:e>
            <m:sub>
              <m:r>
                <m:t>s</m:t>
              </m:r>
              <m:r>
                <m:t>w</m:t>
              </m:r>
              <m:r>
                <m:t>e</m:t>
              </m:r>
              <m:r>
                <m:t>p</m:t>
              </m:r>
              <m:r>
                <m:t>t</m:t>
              </m:r>
            </m:sub>
          </m:sSub>
          <m:r>
            <m:rPr>
              <m:sty m:val="p"/>
            </m:rPr>
            <m:t>=</m:t>
          </m:r>
          <m:sSub>
            <m:e>
              <m:r>
                <m:t>ρ</m:t>
              </m:r>
            </m:e>
            <m:sub>
              <m:r>
                <m:t>o</m:t>
              </m:r>
              <m:r>
                <m:t>p</m:t>
              </m:r>
              <m:r>
                <m:t>t</m:t>
              </m:r>
            </m:sub>
          </m:sSub>
          <m:r>
            <m:t> </m:t>
          </m:r>
          <m:sSub>
            <m:e>
              <m:r>
                <m:t>A</m:t>
              </m:r>
            </m:e>
            <m:sub>
              <m:r>
                <m:t>p</m:t>
              </m:r>
              <m:r>
                <m:t>r</m:t>
              </m:r>
              <m:r>
                <m:t>o</m:t>
              </m:r>
              <m:r>
                <m:t>b</m:t>
              </m:r>
              <m:r>
                <m:t>e</m:t>
              </m:r>
            </m:sub>
          </m:sSub>
          <m:d>
            <m:dPr>
              <m:begChr m:val="("/>
              <m:sepChr m:val=""/>
              <m:endChr m:val=")"/>
              <m:grow/>
            </m:dPr>
            <m:e>
              <m:sSub>
                <m:e>
                  <m:r>
                    <m:t>d</m:t>
                  </m:r>
                </m:e>
                <m:sub>
                  <m:r>
                    <m:t>p</m:t>
                  </m:r>
                  <m:r>
                    <m:t>e</m:t>
                  </m:r>
                  <m:r>
                    <m:t>n</m:t>
                  </m:r>
                </m:sub>
              </m:sSub>
              <m:r>
                <m:rPr>
                  <m:sty m:val="p"/>
                </m:rPr>
                <m:t>+</m:t>
              </m:r>
              <m:sSub>
                <m:e>
                  <m:r>
                    <m:t>v</m:t>
                  </m:r>
                </m:e>
                <m:sub>
                  <m:r>
                    <m:t>p</m:t>
                  </m:r>
                  <m:r>
                    <m:t>r</m:t>
                  </m:r>
                  <m:r>
                    <m:t>o</m:t>
                  </m:r>
                  <m:r>
                    <m:t>b</m:t>
                  </m:r>
                  <m:r>
                    <m:t>e</m:t>
                  </m:r>
                </m:sub>
              </m:sSub>
              <m:r>
                <m:t> </m:t>
              </m:r>
              <m:sSub>
                <m:e>
                  <m:r>
                    <m:t>t</m:t>
                  </m:r>
                </m:e>
                <m:sub>
                  <m:r>
                    <m:t>a</m:t>
                  </m:r>
                  <m:r>
                    <m:t>c</m:t>
                  </m:r>
                  <m:r>
                    <m:t>q</m:t>
                  </m:r>
                </m:sub>
              </m:sSub>
              <m:r>
                <m:t> </m:t>
              </m:r>
              <m:sSub>
                <m:e>
                  <m:r>
                    <m:t>C</m:t>
                  </m:r>
                </m:e>
                <m:sub>
                  <m:r>
                    <m:t>w</m:t>
                  </m:r>
                  <m:r>
                    <m:t>i</m:t>
                  </m:r>
                  <m:r>
                    <m:t>n</m:t>
                  </m:r>
                  <m:r>
                    <m:t>d</m:t>
                  </m:r>
                  <m:r>
                    <m:t>o</m:t>
                  </m:r>
                  <m:r>
                    <m:t>w</m:t>
                  </m:r>
                </m:sub>
              </m:sSub>
            </m:e>
          </m:d>
        </m:oMath>
      </m:oMathPara>
    </w:p>
    <w:p>
      <w:pPr>
        <w:pStyle w:val="FirstParagraph"/>
      </w:pPr>
      <w:r>
        <w:t xml:space="preserve">Total process mass passing the full pipe cross-section during one acquisition:</w:t>
      </w:r>
    </w:p>
    <w:p>
      <w:pPr>
        <w:pStyle w:val="BodyText"/>
      </w:pPr>
      <m:oMathPara>
        <m:oMathParaPr>
          <m:jc m:val="center"/>
        </m:oMathParaPr>
        <m:oMath>
          <m:sSub>
            <m:e>
              <m:r>
                <m:t>m</m:t>
              </m:r>
            </m:e>
            <m:sub>
              <m:r>
                <m:t>p</m:t>
              </m:r>
              <m:r>
                <m:t>r</m:t>
              </m:r>
              <m:r>
                <m:t>o</m:t>
              </m:r>
              <m:r>
                <m:t>c</m:t>
              </m:r>
              <m:r>
                <m:t>e</m:t>
              </m:r>
              <m:r>
                <m:t>s</m:t>
              </m:r>
              <m:r>
                <m:t>s</m:t>
              </m:r>
              <m:r>
                <m:rPr>
                  <m:sty m:val="p"/>
                </m:rPr>
                <m:t>,</m:t>
              </m:r>
              <m:r>
                <m:t>t</m:t>
              </m:r>
              <m:r>
                <m:t>o</m:t>
              </m:r>
              <m:r>
                <m:t>t</m:t>
              </m:r>
              <m:r>
                <m:t>a</m:t>
              </m:r>
              <m:r>
                <m:t>l</m:t>
              </m:r>
            </m:sub>
          </m:sSub>
          <m:r>
            <m:rPr>
              <m:sty m:val="p"/>
            </m:rPr>
            <m:t>=</m:t>
          </m:r>
          <m:sSub>
            <m:e>
              <m:acc>
                <m:accPr>
                  <m:chr m:val="̇"/>
                </m:accPr>
                <m:e>
                  <m:r>
                    <m:t>m</m:t>
                  </m:r>
                </m:e>
              </m:acc>
            </m:e>
            <m:sub>
              <m:r>
                <m:t>g</m:t>
              </m:r>
              <m:r>
                <m:rPr>
                  <m:sty m:val="p"/>
                </m:rPr>
                <m:t>/</m:t>
              </m:r>
              <m:r>
                <m:t>s</m:t>
              </m:r>
            </m:sub>
          </m:sSub>
          <m:r>
            <m:t> </m:t>
          </m:r>
          <m:sSub>
            <m:e>
              <m:r>
                <m:t>t</m:t>
              </m:r>
            </m:e>
            <m:sub>
              <m:r>
                <m:t>a</m:t>
              </m:r>
              <m:r>
                <m:t>c</m:t>
              </m:r>
              <m:r>
                <m:t>q</m:t>
              </m:r>
            </m:sub>
          </m:sSub>
        </m:oMath>
      </m:oMathPara>
    </w:p>
    <w:p>
      <w:pPr>
        <w:pStyle w:val="FirstParagraph"/>
      </w:pPr>
      <w:r>
        <w:t xml:space="preserve">Interpretation boundary:</w:t>
      </w:r>
    </w:p>
    <w:p>
      <w:pPr>
        <w:pStyle w:val="Compact"/>
        <w:numPr>
          <w:ilvl w:val="0"/>
          <w:numId w:val="1007"/>
        </w:numPr>
      </w:pPr>
      <m:oMath>
        <m:sSub>
          <m:e>
            <m:r>
              <m:t>m</m:t>
            </m:r>
          </m:e>
          <m:sub>
            <m:r>
              <m:t>p</m:t>
            </m:r>
            <m:r>
              <m:t>r</m:t>
            </m:r>
            <m:r>
              <m:t>o</m:t>
            </m:r>
            <m:r>
              <m:t>c</m:t>
            </m:r>
            <m:r>
              <m:t>e</m:t>
            </m:r>
            <m:r>
              <m:t>s</m:t>
            </m:r>
            <m:r>
              <m:t>s</m:t>
            </m:r>
            <m:r>
              <m:rPr>
                <m:sty m:val="p"/>
              </m:rPr>
              <m:t>,</m:t>
            </m:r>
            <m:r>
              <m:t>t</m:t>
            </m:r>
            <m:r>
              <m:t>o</m:t>
            </m:r>
            <m:r>
              <m:t>t</m:t>
            </m:r>
            <m:r>
              <m:t>a</m:t>
            </m:r>
            <m:r>
              <m:t>l</m:t>
            </m:r>
          </m:sub>
        </m:sSub>
      </m:oMath>
      <w:r>
        <w:t xml:space="preserve"> </w:t>
      </w:r>
      <w:r>
        <w:t xml:space="preserve">is the total process mass crossing the axial location.</w:t>
      </w:r>
    </w:p>
    <w:p>
      <w:pPr>
        <w:pStyle w:val="Compact"/>
        <w:numPr>
          <w:ilvl w:val="0"/>
          <w:numId w:val="1007"/>
        </w:numPr>
      </w:pPr>
      <w:r>
        <w:t xml:space="preserve">The NIR signal represents only a near-wall optical subset of that process mass.</w:t>
      </w:r>
    </w:p>
    <w:p>
      <w:pPr>
        <w:pStyle w:val="Compact"/>
        <w:numPr>
          <w:ilvl w:val="0"/>
          <w:numId w:val="1007"/>
        </w:numPr>
      </w:pPr>
      <w:r>
        <w:t xml:space="preserve">Local velocity is estimated from mass balance and apparent holdup; it is not directly measured.</w:t>
      </w:r>
      <w:r>
        <w:t xml:space="preserve"> </w:t>
      </w:r>
      <w:r>
        <w:t xml:space="preserve">## Worked Example</w:t>
      </w:r>
    </w:p>
    <w:p>
      <w:pPr>
        <w:pStyle w:val="FirstParagraph"/>
      </w:pPr>
      <w:r>
        <w:t xml:space="preserve">Baseline worked example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Value</w:t>
            </w:r>
          </w:p>
        </w:tc>
        <w:tc>
          <w:tcPr/>
          <w:p>
            <w:pPr>
              <w:pStyle w:val="Compact"/>
            </w:pPr>
            <w:r>
              <w:t xml:space="preserve">Unit</w:t>
            </w:r>
          </w:p>
        </w:tc>
      </w:tr>
      <w:tr>
        <w:tc>
          <w:tcPr/>
          <w:p>
            <w:pPr>
              <w:pStyle w:val="Compact"/>
            </w:pPr>
            <w:r>
              <w:t xml:space="preserve">mass flow</w:t>
            </w:r>
          </w:p>
        </w:tc>
        <w:tc>
          <w:tcPr/>
          <w:p>
            <w:pPr>
              <w:pStyle w:val="Compact"/>
            </w:pPr>
            <w:r>
              <w:t xml:space="preserve">95.0</w:t>
            </w:r>
          </w:p>
        </w:tc>
        <w:tc>
          <w:tcPr/>
          <w:p>
            <w:pPr>
              <w:pStyle w:val="Compact"/>
            </w:pPr>
            <w:r>
              <w:t xml:space="preserve">kg/h</w:t>
            </w:r>
          </w:p>
        </w:tc>
      </w:tr>
      <w:tr>
        <w:tc>
          <w:tcPr/>
          <w:p>
            <w:pPr>
              <w:pStyle w:val="Compact"/>
            </w:pPr>
            <w:r>
              <w:t xml:space="preserve">bulk density</w:t>
            </w:r>
          </w:p>
        </w:tc>
        <w:tc>
          <w:tcPr/>
          <w:p>
            <w:pPr>
              <w:pStyle w:val="Compact"/>
            </w:pPr>
            <w:r>
              <w:t xml:space="preserve">0.4</w:t>
            </w:r>
          </w:p>
        </w:tc>
        <w:tc>
          <w:tcPr/>
          <w:p>
            <w:pPr>
              <w:pStyle w:val="Compact"/>
            </w:pPr>
            <w:r>
              <w:t xml:space="preserve">g/cm^3</w:t>
            </w:r>
          </w:p>
        </w:tc>
      </w:tr>
      <w:tr>
        <w:tc>
          <w:tcPr/>
          <w:p>
            <w:pPr>
              <w:pStyle w:val="Compact"/>
            </w:pPr>
            <w:r>
              <w:t xml:space="preserve">pipe diameter</w:t>
            </w:r>
          </w:p>
        </w:tc>
        <w:tc>
          <w:tcPr/>
          <w:p>
            <w:pPr>
              <w:pStyle w:val="Compact"/>
            </w:pPr>
            <w:r>
              <w:t xml:space="preserve">65.0</w:t>
            </w:r>
          </w:p>
        </w:tc>
        <w:tc>
          <w:tcPr/>
          <w:p>
            <w:pPr>
              <w:pStyle w:val="Compact"/>
            </w:pPr>
            <w:r>
              <w:t xml:space="preserve">mm</w:t>
            </w:r>
          </w:p>
        </w:tc>
      </w:tr>
      <w:tr>
        <w:tc>
          <w:tcPr/>
          <w:p>
            <w:pPr>
              <w:pStyle w:val="Compact"/>
            </w:pPr>
            <w:r>
              <w:t xml:space="preserve">probe diameter</w:t>
            </w:r>
          </w:p>
        </w:tc>
        <w:tc>
          <w:tcPr/>
          <w:p>
            <w:pPr>
              <w:pStyle w:val="Compact"/>
            </w:pPr>
            <w:r>
              <w:t xml:space="preserve">5.0</w:t>
            </w:r>
          </w:p>
        </w:tc>
        <w:tc>
          <w:tcPr/>
          <w:p>
            <w:pPr>
              <w:pStyle w:val="Compact"/>
            </w:pPr>
            <w:r>
              <w:t xml:space="preserve">mm</w:t>
            </w:r>
          </w:p>
        </w:tc>
      </w:tr>
      <w:tr>
        <w:tc>
          <w:tcPr/>
          <w:p>
            <w:pPr>
              <w:pStyle w:val="Compact"/>
            </w:pPr>
            <w:r>
              <w:t xml:space="preserve">penetration depth</w:t>
            </w:r>
          </w:p>
        </w:tc>
        <w:tc>
          <w:tcPr/>
          <w:p>
            <w:pPr>
              <w:pStyle w:val="Compact"/>
            </w:pPr>
            <w:r>
              <w:t xml:space="preserve">1.0</w:t>
            </w:r>
          </w:p>
        </w:tc>
        <w:tc>
          <w:tcPr/>
          <w:p>
            <w:pPr>
              <w:pStyle w:val="Compact"/>
            </w:pPr>
            <w:r>
              <w:t xml:space="preserve">mm</w:t>
            </w:r>
          </w:p>
        </w:tc>
      </w:tr>
      <w:tr>
        <w:tc>
          <w:tcPr/>
          <w:p>
            <w:pPr>
              <w:pStyle w:val="Compact"/>
            </w:pPr>
            <w:r>
              <w:t xml:space="preserve">acquisition time</w:t>
            </w:r>
          </w:p>
        </w:tc>
        <w:tc>
          <w:tcPr/>
          <w:p>
            <w:pPr>
              <w:pStyle w:val="Compact"/>
            </w:pPr>
            <w:r>
              <w:t xml:space="preserve">1.8</w:t>
            </w:r>
          </w:p>
        </w:tc>
        <w:tc>
          <w:tcPr/>
          <w:p>
            <w:pPr>
              <w:pStyle w:val="Compact"/>
            </w:pPr>
            <w:r>
              <w:t xml:space="preserve">s</w:t>
            </w:r>
          </w:p>
        </w:tc>
      </w:tr>
      <w:tr>
        <w:tc>
          <w:tcPr/>
          <w:p>
            <w:pPr>
              <w:pStyle w:val="Compact"/>
            </w:pPr>
            <w:r>
              <w:t xml:space="preserve">superficial velocity</w:t>
            </w:r>
          </w:p>
        </w:tc>
        <w:tc>
          <w:tcPr/>
          <w:p>
            <w:pPr>
              <w:pStyle w:val="Compact"/>
            </w:pPr>
            <w:r>
              <w:t xml:space="preserve">1.98813</w:t>
            </w:r>
          </w:p>
        </w:tc>
        <w:tc>
          <w:tcPr/>
          <w:p>
            <w:pPr>
              <w:pStyle w:val="Compact"/>
            </w:pPr>
            <w:r>
              <w:t xml:space="preserve">cm/s</w:t>
            </w:r>
          </w:p>
        </w:tc>
      </w:tr>
      <w:tr>
        <w:tc>
          <w:tcPr/>
          <w:p>
            <w:pPr>
              <w:pStyle w:val="Compact"/>
            </w:pPr>
            <w:r>
              <w:t xml:space="preserve">apparent holdup fraction</w:t>
            </w:r>
          </w:p>
        </w:tc>
        <w:tc>
          <w:tcPr/>
          <w:p>
            <w:pPr>
              <w:pStyle w:val="Compact"/>
            </w:pPr>
            <w:r>
              <w:t xml:space="preserve">0.3</w:t>
            </w:r>
          </w:p>
        </w:tc>
        <w:tc>
          <w:tcPr/>
          <w:p>
            <w:pPr>
              <w:pStyle w:val="Compact"/>
            </w:pPr>
            <w:r>
              <w:t xml:space="preserve">-</w:t>
            </w:r>
          </w:p>
        </w:tc>
      </w:tr>
      <w:tr>
        <w:tc>
          <w:tcPr/>
          <w:p>
            <w:pPr>
              <w:pStyle w:val="Compact"/>
            </w:pPr>
            <w:r>
              <w:t xml:space="preserve">wall velocity factor</w:t>
            </w:r>
          </w:p>
        </w:tc>
        <w:tc>
          <w:tcPr/>
          <w:p>
            <w:pPr>
              <w:pStyle w:val="Compact"/>
            </w:pPr>
            <w:r>
              <w:t xml:space="preserve">1.0</w:t>
            </w:r>
          </w:p>
        </w:tc>
        <w:tc>
          <w:tcPr/>
          <w:p>
            <w:pPr>
              <w:pStyle w:val="Compact"/>
            </w:pPr>
            <w:r>
              <w:t xml:space="preserve">-</w:t>
            </w:r>
          </w:p>
        </w:tc>
      </w:tr>
      <w:tr>
        <w:tc>
          <w:tcPr/>
          <w:p>
            <w:pPr>
              <w:pStyle w:val="Compact"/>
            </w:pPr>
            <w:r>
              <w:t xml:space="preserve">window coverage fraction</w:t>
            </w:r>
          </w:p>
        </w:tc>
        <w:tc>
          <w:tcPr/>
          <w:p>
            <w:pPr>
              <w:pStyle w:val="Compact"/>
            </w:pPr>
            <w:r>
              <w:t xml:space="preserve">1.0</w:t>
            </w:r>
          </w:p>
        </w:tc>
        <w:tc>
          <w:tcPr/>
          <w:p>
            <w:pPr>
              <w:pStyle w:val="Compact"/>
            </w:pPr>
            <w:r>
              <w:t xml:space="preserve">-</w:t>
            </w:r>
          </w:p>
        </w:tc>
      </w:tr>
      <w:tr>
        <w:tc>
          <w:tcPr/>
          <w:p>
            <w:pPr>
              <w:pStyle w:val="Compact"/>
            </w:pPr>
            <w:r>
              <w:t xml:space="preserve">estimated local probe velocity</w:t>
            </w:r>
          </w:p>
        </w:tc>
        <w:tc>
          <w:tcPr/>
          <w:p>
            <w:pPr>
              <w:pStyle w:val="Compact"/>
            </w:pPr>
            <w:r>
              <w:t xml:space="preserve">6.6271</w:t>
            </w:r>
          </w:p>
        </w:tc>
        <w:tc>
          <w:tcPr/>
          <w:p>
            <w:pPr>
              <w:pStyle w:val="Compact"/>
            </w:pPr>
            <w:r>
              <w:t xml:space="preserve">cm/s</w:t>
            </w:r>
          </w:p>
        </w:tc>
      </w:tr>
      <w:tr>
        <w:tc>
          <w:tcPr/>
          <w:p>
            <w:pPr>
              <w:pStyle w:val="Compact"/>
            </w:pPr>
            <w:r>
              <w:t xml:space="preserve">travel distance during acquisition</w:t>
            </w:r>
          </w:p>
        </w:tc>
        <w:tc>
          <w:tcPr/>
          <w:p>
            <w:pPr>
              <w:pStyle w:val="Compact"/>
            </w:pPr>
            <w:r>
              <w:t xml:space="preserve">11.9288</w:t>
            </w:r>
          </w:p>
        </w:tc>
        <w:tc>
          <w:tcPr/>
          <w:p>
            <w:pPr>
              <w:pStyle w:val="Compact"/>
            </w:pPr>
            <w:r>
              <w:t xml:space="preserve">cm</w:t>
            </w:r>
          </w:p>
        </w:tc>
      </w:tr>
      <w:tr>
        <w:tc>
          <w:tcPr/>
          <w:p>
            <w:pPr>
              <w:pStyle w:val="Compact"/>
            </w:pPr>
            <w:r>
              <w:t xml:space="preserve">instantaneous optical mass</w:t>
            </w:r>
          </w:p>
        </w:tc>
        <w:tc>
          <w:tcPr/>
          <w:p>
            <w:pPr>
              <w:pStyle w:val="Compact"/>
            </w:pPr>
            <w:r>
              <w:t xml:space="preserve">7.85398</w:t>
            </w:r>
          </w:p>
        </w:tc>
        <w:tc>
          <w:tcPr/>
          <w:p>
            <w:pPr>
              <w:pStyle w:val="Compact"/>
            </w:pPr>
            <w:r>
              <w:t xml:space="preserve">mg</w:t>
            </w:r>
          </w:p>
        </w:tc>
      </w:tr>
      <w:tr>
        <w:tc>
          <w:tcPr/>
          <w:p>
            <w:pPr>
              <w:pStyle w:val="Compact"/>
            </w:pPr>
            <w:r>
              <w:t xml:space="preserve">renewal factor</w:t>
            </w:r>
          </w:p>
        </w:tc>
        <w:tc>
          <w:tcPr/>
          <w:p>
            <w:pPr>
              <w:pStyle w:val="Compact"/>
            </w:pPr>
            <w:r>
              <w:t xml:space="preserve">23.8575</w:t>
            </w:r>
          </w:p>
        </w:tc>
        <w:tc>
          <w:tcPr/>
          <w:p>
            <w:pPr>
              <w:pStyle w:val="Compact"/>
            </w:pPr>
            <w:r>
              <w:t xml:space="preserve">-</w:t>
            </w:r>
          </w:p>
        </w:tc>
      </w:tr>
      <w:tr>
        <w:tc>
          <w:tcPr/>
          <w:p>
            <w:pPr>
              <w:pStyle w:val="Compact"/>
            </w:pPr>
            <w:r>
              <w:t xml:space="preserve">holdup-adjusted ESS proxy</w:t>
            </w:r>
          </w:p>
        </w:tc>
        <w:tc>
          <w:tcPr/>
          <w:p>
            <w:pPr>
              <w:pStyle w:val="Compact"/>
            </w:pPr>
            <w:r>
              <w:t xml:space="preserve">187.377</w:t>
            </w:r>
          </w:p>
        </w:tc>
        <w:tc>
          <w:tcPr/>
          <w:p>
            <w:pPr>
              <w:pStyle w:val="Compact"/>
            </w:pPr>
            <w:r>
              <w:t xml:space="preserve">mg</w:t>
            </w:r>
          </w:p>
        </w:tc>
      </w:tr>
      <w:tr>
        <w:tc>
          <w:tcPr/>
          <w:p>
            <w:pPr>
              <w:pStyle w:val="Compact"/>
            </w:pPr>
            <w:r>
              <w:t xml:space="preserve">convective swept-ribbon reference mass</w:t>
            </w:r>
          </w:p>
        </w:tc>
        <w:tc>
          <w:tcPr/>
          <w:p>
            <w:pPr>
              <w:pStyle w:val="Compact"/>
            </w:pPr>
            <w:r>
              <w:t xml:space="preserve">0.944738</w:t>
            </w:r>
          </w:p>
        </w:tc>
        <w:tc>
          <w:tcPr/>
          <w:p>
            <w:pPr>
              <w:pStyle w:val="Compact"/>
            </w:pPr>
            <w:r>
              <w:t xml:space="preserve">g</w:t>
            </w:r>
          </w:p>
        </w:tc>
      </w:tr>
      <w:tr>
        <w:tc>
          <w:tcPr/>
          <w:p>
            <w:pPr>
              <w:pStyle w:val="Compact"/>
            </w:pPr>
            <w:r>
              <w:t xml:space="preserve">total process mass passing pipe cross-section during acquisition</w:t>
            </w:r>
          </w:p>
        </w:tc>
        <w:tc>
          <w:tcPr/>
          <w:p>
            <w:pPr>
              <w:pStyle w:val="Compact"/>
            </w:pPr>
            <w:r>
              <w:t xml:space="preserve">47.5</w:t>
            </w:r>
          </w:p>
        </w:tc>
        <w:tc>
          <w:tcPr/>
          <w:p>
            <w:pPr>
              <w:pStyle w:val="Compact"/>
            </w:pPr>
            <w:r>
              <w:t xml:space="preserve">g</w:t>
            </w:r>
          </w:p>
        </w:tc>
      </w:tr>
    </w:tbl>
    <w:bookmarkEnd w:id="16"/>
    <w:bookmarkEnd w:id="17"/>
    <w:bookmarkStart w:id="18" w:name="holdup-sensitivity"/>
    <w:p>
      <w:pPr>
        <w:pStyle w:val="Heading2"/>
      </w:pPr>
      <w:r>
        <w:t xml:space="preserve">Holdup Sensitivity</w:t>
      </w:r>
    </w:p>
    <w:p>
      <w:pPr>
        <w:pStyle w:val="FirstParagraph"/>
      </w:pPr>
      <w:r>
        <w:t xml:space="preserve">Holdup sensitivity summary table: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apparent_holdup_fraction</w:t>
            </w:r>
          </w:p>
        </w:tc>
        <w:tc>
          <w:tcPr/>
          <w:p>
            <w:pPr>
              <w:pStyle w:val="Compact"/>
            </w:pPr>
            <w:r>
              <w:t xml:space="preserve">superficial_velocity_cm_s</w:t>
            </w:r>
          </w:p>
        </w:tc>
        <w:tc>
          <w:tcPr/>
          <w:p>
            <w:pPr>
              <w:pStyle w:val="Compact"/>
            </w:pPr>
            <w:r>
              <w:t xml:space="preserve">local_probe_velocity_cm_s</w:t>
            </w:r>
          </w:p>
        </w:tc>
        <w:tc>
          <w:tcPr/>
          <w:p>
            <w:pPr>
              <w:pStyle w:val="Compact"/>
            </w:pPr>
            <w:r>
              <w:t xml:space="preserve">travel_distance_cm</w:t>
            </w:r>
          </w:p>
        </w:tc>
        <w:tc>
          <w:tcPr/>
          <w:p>
            <w:pPr>
              <w:pStyle w:val="Compact"/>
            </w:pPr>
            <w:r>
              <w:t xml:space="preserve">renewal_factor</w:t>
            </w:r>
          </w:p>
        </w:tc>
        <w:tc>
          <w:tcPr/>
          <w:p>
            <w:pPr>
              <w:pStyle w:val="Compact"/>
            </w:pPr>
            <w:r>
              <w:t xml:space="preserve">ess_proxy_mg</w:t>
            </w:r>
          </w:p>
        </w:tc>
        <w:tc>
          <w:tcPr/>
          <w:p>
            <w:pPr>
              <w:pStyle w:val="Compact"/>
            </w:pPr>
            <w:r>
              <w:t xml:space="preserve">convective_swept_ribbon_mass_g</w:t>
            </w:r>
          </w:p>
        </w:tc>
      </w:tr>
      <w:tr>
        <w:tc>
          <w:tcPr/>
          <w:p>
            <w:pPr>
              <w:pStyle w:val="Compact"/>
            </w:pPr>
            <w:r>
              <w:t xml:space="preserve">1.0</w:t>
            </w:r>
          </w:p>
        </w:tc>
        <w:tc>
          <w:tcPr/>
          <w:p>
            <w:pPr>
              <w:pStyle w:val="Compact"/>
            </w:pPr>
            <w:r>
              <w:t xml:space="preserve">1.9881</w:t>
            </w:r>
          </w:p>
        </w:tc>
        <w:tc>
          <w:tcPr/>
          <w:p>
            <w:pPr>
              <w:pStyle w:val="Compact"/>
            </w:pPr>
            <w:r>
              <w:t xml:space="preserve">1.9881</w:t>
            </w:r>
          </w:p>
        </w:tc>
        <w:tc>
          <w:tcPr/>
          <w:p>
            <w:pPr>
              <w:pStyle w:val="Compact"/>
            </w:pPr>
            <w:r>
              <w:t xml:space="preserve">3.5786</w:t>
            </w:r>
          </w:p>
        </w:tc>
        <w:tc>
          <w:tcPr/>
          <w:p>
            <w:pPr>
              <w:pStyle w:val="Compact"/>
            </w:pPr>
            <w:r>
              <w:t xml:space="preserve">7.1573</w:t>
            </w:r>
          </w:p>
        </w:tc>
        <w:tc>
          <w:tcPr/>
          <w:p>
            <w:pPr>
              <w:pStyle w:val="Compact"/>
            </w:pPr>
            <w:r>
              <w:t xml:space="preserve">56.213</w:t>
            </w:r>
          </w:p>
        </w:tc>
        <w:tc>
          <w:tcPr/>
          <w:p>
            <w:pPr>
              <w:pStyle w:val="Compact"/>
            </w:pPr>
            <w:r>
              <w:t xml:space="preserve">0.2889</w:t>
            </w:r>
          </w:p>
        </w:tc>
      </w:tr>
      <w:tr>
        <w:tc>
          <w:tcPr/>
          <w:p>
            <w:pPr>
              <w:pStyle w:val="Compact"/>
            </w:pPr>
            <w:r>
              <w:t xml:space="preserve">0.6</w:t>
            </w:r>
          </w:p>
        </w:tc>
        <w:tc>
          <w:tcPr/>
          <w:p>
            <w:pPr>
              <w:pStyle w:val="Compact"/>
            </w:pPr>
            <w:r>
              <w:t xml:space="preserve">1.9881</w:t>
            </w:r>
          </w:p>
        </w:tc>
        <w:tc>
          <w:tcPr/>
          <w:p>
            <w:pPr>
              <w:pStyle w:val="Compact"/>
            </w:pPr>
            <w:r>
              <w:t xml:space="preserve">3.3135</w:t>
            </w:r>
          </w:p>
        </w:tc>
        <w:tc>
          <w:tcPr/>
          <w:p>
            <w:pPr>
              <w:pStyle w:val="Compact"/>
            </w:pPr>
            <w:r>
              <w:t xml:space="preserve">5.9644</w:t>
            </w:r>
          </w:p>
        </w:tc>
        <w:tc>
          <w:tcPr/>
          <w:p>
            <w:pPr>
              <w:pStyle w:val="Compact"/>
            </w:pPr>
            <w:r>
              <w:t xml:space="preserve">11.9288</w:t>
            </w:r>
          </w:p>
        </w:tc>
        <w:tc>
          <w:tcPr/>
          <w:p>
            <w:pPr>
              <w:pStyle w:val="Compact"/>
            </w:pPr>
            <w:r>
              <w:t xml:space="preserve">93.6884</w:t>
            </w:r>
          </w:p>
        </w:tc>
        <w:tc>
          <w:tcPr/>
          <w:p>
            <w:pPr>
              <w:pStyle w:val="Compact"/>
            </w:pPr>
            <w:r>
              <w:t xml:space="preserve">0.4763</w:t>
            </w:r>
          </w:p>
        </w:tc>
      </w:tr>
      <w:tr>
        <w:tc>
          <w:tcPr/>
          <w:p>
            <w:pPr>
              <w:pStyle w:val="Compact"/>
            </w:pPr>
            <w:r>
              <w:t xml:space="preserve">0.3</w:t>
            </w:r>
          </w:p>
        </w:tc>
        <w:tc>
          <w:tcPr/>
          <w:p>
            <w:pPr>
              <w:pStyle w:val="Compact"/>
            </w:pPr>
            <w:r>
              <w:t xml:space="preserve">1.9881</w:t>
            </w:r>
          </w:p>
        </w:tc>
        <w:tc>
          <w:tcPr/>
          <w:p>
            <w:pPr>
              <w:pStyle w:val="Compact"/>
            </w:pPr>
            <w:r>
              <w:t xml:space="preserve">6.6271</w:t>
            </w:r>
          </w:p>
        </w:tc>
        <w:tc>
          <w:tcPr/>
          <w:p>
            <w:pPr>
              <w:pStyle w:val="Compact"/>
            </w:pPr>
            <w:r>
              <w:t xml:space="preserve">11.9288</w:t>
            </w:r>
          </w:p>
        </w:tc>
        <w:tc>
          <w:tcPr/>
          <w:p>
            <w:pPr>
              <w:pStyle w:val="Compact"/>
            </w:pPr>
            <w:r>
              <w:t xml:space="preserve">23.8575</w:t>
            </w:r>
          </w:p>
        </w:tc>
        <w:tc>
          <w:tcPr/>
          <w:p>
            <w:pPr>
              <w:pStyle w:val="Compact"/>
            </w:pPr>
            <w:r>
              <w:t xml:space="preserve">187.3767</w:t>
            </w:r>
          </w:p>
        </w:tc>
        <w:tc>
          <w:tcPr/>
          <w:p>
            <w:pPr>
              <w:pStyle w:val="Compact"/>
            </w:pPr>
            <w:r>
              <w:t xml:space="preserve">0.9447</w:t>
            </w:r>
          </w:p>
        </w:tc>
      </w:tr>
      <w:tr>
        <w:tc>
          <w:tcPr/>
          <w:p>
            <w:pPr>
              <w:pStyle w:val="Compact"/>
            </w:pPr>
            <w:r>
              <w:t xml:space="preserve">0.15</w:t>
            </w:r>
          </w:p>
        </w:tc>
        <w:tc>
          <w:tcPr/>
          <w:p>
            <w:pPr>
              <w:pStyle w:val="Compact"/>
            </w:pPr>
            <w:r>
              <w:t xml:space="preserve">1.9881</w:t>
            </w:r>
          </w:p>
        </w:tc>
        <w:tc>
          <w:tcPr/>
          <w:p>
            <w:pPr>
              <w:pStyle w:val="Compact"/>
            </w:pPr>
            <w:r>
              <w:t xml:space="preserve">13.2542</w:t>
            </w:r>
          </w:p>
        </w:tc>
        <w:tc>
          <w:tcPr/>
          <w:p>
            <w:pPr>
              <w:pStyle w:val="Compact"/>
            </w:pPr>
            <w:r>
              <w:t xml:space="preserve">23.8575</w:t>
            </w:r>
          </w:p>
        </w:tc>
        <w:tc>
          <w:tcPr/>
          <w:p>
            <w:pPr>
              <w:pStyle w:val="Compact"/>
            </w:pPr>
            <w:r>
              <w:t xml:space="preserve">47.7151</w:t>
            </w:r>
          </w:p>
        </w:tc>
        <w:tc>
          <w:tcPr/>
          <w:p>
            <w:pPr>
              <w:pStyle w:val="Compact"/>
            </w:pPr>
            <w:r>
              <w:t xml:space="preserve">374.7535</w:t>
            </w:r>
          </w:p>
        </w:tc>
        <w:tc>
          <w:tcPr/>
          <w:p>
            <w:pPr>
              <w:pStyle w:val="Compact"/>
            </w:pPr>
            <w:r>
              <w:t xml:space="preserve">1.8816</w:t>
            </w:r>
          </w:p>
        </w:tc>
      </w:tr>
      <w:tr>
        <w:tc>
          <w:tcPr/>
          <w:p>
            <w:pPr>
              <w:pStyle w:val="Compact"/>
            </w:pPr>
            <w:r>
              <w:t xml:space="preserve">0.1</w:t>
            </w:r>
          </w:p>
        </w:tc>
        <w:tc>
          <w:tcPr/>
          <w:p>
            <w:pPr>
              <w:pStyle w:val="Compact"/>
            </w:pPr>
            <w:r>
              <w:t xml:space="preserve">1.9881</w:t>
            </w:r>
          </w:p>
        </w:tc>
        <w:tc>
          <w:tcPr/>
          <w:p>
            <w:pPr>
              <w:pStyle w:val="Compact"/>
            </w:pPr>
            <w:r>
              <w:t xml:space="preserve">19.8813</w:t>
            </w:r>
          </w:p>
        </w:tc>
        <w:tc>
          <w:tcPr/>
          <w:p>
            <w:pPr>
              <w:pStyle w:val="Compact"/>
            </w:pPr>
            <w:r>
              <w:t xml:space="preserve">35.7863</w:t>
            </w:r>
          </w:p>
        </w:tc>
        <w:tc>
          <w:tcPr/>
          <w:p>
            <w:pPr>
              <w:pStyle w:val="Compact"/>
            </w:pPr>
            <w:r>
              <w:t xml:space="preserve">71.5726</w:t>
            </w:r>
          </w:p>
        </w:tc>
        <w:tc>
          <w:tcPr/>
          <w:p>
            <w:pPr>
              <w:pStyle w:val="Compact"/>
            </w:pPr>
            <w:r>
              <w:t xml:space="preserve">562.1302</w:t>
            </w:r>
          </w:p>
        </w:tc>
        <w:tc>
          <w:tcPr/>
          <w:p>
            <w:pPr>
              <w:pStyle w:val="Compact"/>
            </w:pPr>
            <w:r>
              <w:t xml:space="preserve">2.8185</w:t>
            </w:r>
          </w:p>
        </w:tc>
      </w:tr>
      <w:tr>
        <w:tc>
          <w:tcPr/>
          <w:p>
            <w:pPr>
              <w:pStyle w:val="Compact"/>
            </w:pPr>
            <w:r>
              <w:t xml:space="preserve">0.05</w:t>
            </w:r>
          </w:p>
        </w:tc>
        <w:tc>
          <w:tcPr/>
          <w:p>
            <w:pPr>
              <w:pStyle w:val="Compact"/>
            </w:pPr>
            <w:r>
              <w:t xml:space="preserve">1.9881</w:t>
            </w:r>
          </w:p>
        </w:tc>
        <w:tc>
          <w:tcPr/>
          <w:p>
            <w:pPr>
              <w:pStyle w:val="Compact"/>
            </w:pPr>
            <w:r>
              <w:t xml:space="preserve">39.7626</w:t>
            </w:r>
          </w:p>
        </w:tc>
        <w:tc>
          <w:tcPr/>
          <w:p>
            <w:pPr>
              <w:pStyle w:val="Compact"/>
            </w:pPr>
            <w:r>
              <w:t xml:space="preserve">71.5726</w:t>
            </w:r>
          </w:p>
        </w:tc>
        <w:tc>
          <w:tcPr/>
          <w:p>
            <w:pPr>
              <w:pStyle w:val="Compact"/>
            </w:pPr>
            <w:r>
              <w:t xml:space="preserve">143.1453</w:t>
            </w:r>
          </w:p>
        </w:tc>
        <w:tc>
          <w:tcPr/>
          <w:p>
            <w:pPr>
              <w:pStyle w:val="Compact"/>
            </w:pPr>
            <w:r>
              <w:t xml:space="preserve">1124.2604</w:t>
            </w:r>
          </w:p>
        </w:tc>
        <w:tc>
          <w:tcPr/>
          <w:p>
            <w:pPr>
              <w:pStyle w:val="Compact"/>
            </w:pPr>
            <w:r>
              <w:t xml:space="preserve">5.6292</w:t>
            </w:r>
          </w:p>
        </w:tc>
      </w:tr>
    </w:tbl>
    <w:bookmarkEnd w:id="18"/>
    <w:bookmarkStart w:id="40" w:name="figures"/>
    <w:p>
      <w:pPr>
        <w:pStyle w:val="Heading2"/>
      </w:pPr>
      <w:r>
        <w:t xml:space="preserve">Figures</w:t>
      </w:r>
    </w:p>
    <w:p>
      <w:pPr>
        <w:pStyle w:val="FirstParagraph"/>
      </w:pPr>
      <w:r>
        <w:t xml:space="preserve">Figures progress from holdup-based velocity estimation to renewal and ESS consequences.</w:t>
      </w:r>
    </w:p>
    <w:p>
      <w:pPr>
        <w:pStyle w:val="CaptionedFigure"/>
      </w:pPr>
      <w:r>
        <w:drawing>
          <wp:inline>
            <wp:extent cx="5334000" cy="2189213"/>
            <wp:effectExtent b="0" l="0" r="0" t="0"/>
            <wp:docPr descr="Figure 1. Probe geometry and renewal bookkeeping schematic." title="" id="20" name="Picture"/>
            <a:graphic>
              <a:graphicData uri="http://schemas.openxmlformats.org/drawingml/2006/picture">
                <pic:pic>
                  <pic:nvPicPr>
                    <pic:cNvPr descr="schematic_probe_geometry_and_bookkeeping.png" id="21" name="Picture"/>
                    <pic:cNvPicPr>
                      <a:picLocks noChangeArrowheads="1" noChangeAspect="1"/>
                    </pic:cNvPicPr>
                  </pic:nvPicPr>
                  <pic:blipFill>
                    <a:blip r:embed="rId19"/>
                    <a:stretch>
                      <a:fillRect/>
                    </a:stretch>
                  </pic:blipFill>
                  <pic:spPr bwMode="auto">
                    <a:xfrm>
                      <a:off x="0" y="0"/>
                      <a:ext cx="5334000" cy="2189213"/>
                    </a:xfrm>
                    <a:prstGeom prst="rect">
                      <a:avLst/>
                    </a:prstGeom>
                    <a:noFill/>
                    <a:ln w="9525">
                      <a:noFill/>
                      <a:headEnd/>
                      <a:tailEnd/>
                    </a:ln>
                  </pic:spPr>
                </pic:pic>
              </a:graphicData>
            </a:graphic>
          </wp:inline>
        </w:drawing>
      </w:r>
    </w:p>
    <w:p>
      <w:pPr>
        <w:pStyle w:val="ImageCaption"/>
      </w:pPr>
      <w:r>
        <w:t xml:space="preserve">Figure 1. Probe geometry and renewal bookkeeping schematic.</w:t>
      </w:r>
    </w:p>
    <w:p>
      <w:pPr>
        <w:pStyle w:val="CaptionedFigure"/>
      </w:pPr>
      <w:r>
        <w:drawing>
          <wp:inline>
            <wp:extent cx="5334000" cy="3459351"/>
            <wp:effectExtent b="0" l="0" r="0" t="0"/>
            <wp:docPr descr="Figure 2. Estimated local probe velocity versus apparent holdup." title="" id="23" name="Picture"/>
            <a:graphic>
              <a:graphicData uri="http://schemas.openxmlformats.org/drawingml/2006/picture">
                <pic:pic>
                  <pic:nvPicPr>
                    <pic:cNvPr descr="plot_01_local_velocity_vs_holdup.png" id="24" name="Picture"/>
                    <pic:cNvPicPr>
                      <a:picLocks noChangeArrowheads="1" noChangeAspect="1"/>
                    </pic:cNvPicPr>
                  </pic:nvPicPr>
                  <pic:blipFill>
                    <a:blip r:embed="rId22"/>
                    <a:stretch>
                      <a:fillRect/>
                    </a:stretch>
                  </pic:blipFill>
                  <pic:spPr bwMode="auto">
                    <a:xfrm>
                      <a:off x="0" y="0"/>
                      <a:ext cx="5334000" cy="3459351"/>
                    </a:xfrm>
                    <a:prstGeom prst="rect">
                      <a:avLst/>
                    </a:prstGeom>
                    <a:noFill/>
                    <a:ln w="9525">
                      <a:noFill/>
                      <a:headEnd/>
                      <a:tailEnd/>
                    </a:ln>
                  </pic:spPr>
                </pic:pic>
              </a:graphicData>
            </a:graphic>
          </wp:inline>
        </w:drawing>
      </w:r>
    </w:p>
    <w:p>
      <w:pPr>
        <w:pStyle w:val="ImageCaption"/>
      </w:pPr>
      <w:r>
        <w:t xml:space="preserve">Figure 2. Estimated local probe velocity versus apparent holdup.</w:t>
      </w:r>
    </w:p>
    <w:p>
      <w:pPr>
        <w:pStyle w:val="CaptionedFigure"/>
      </w:pPr>
      <w:r>
        <w:drawing>
          <wp:inline>
            <wp:extent cx="5334000" cy="3459351"/>
            <wp:effectExtent b="0" l="0" r="0" t="0"/>
            <wp:docPr descr="Figure 3. Renewal factor versus apparent holdup." title="" id="26" name="Picture"/>
            <a:graphic>
              <a:graphicData uri="http://schemas.openxmlformats.org/drawingml/2006/picture">
                <pic:pic>
                  <pic:nvPicPr>
                    <pic:cNvPr descr="plot_02_renewal_vs_holdup.png" id="27" name="Picture"/>
                    <pic:cNvPicPr>
                      <a:picLocks noChangeArrowheads="1" noChangeAspect="1"/>
                    </pic:cNvPicPr>
                  </pic:nvPicPr>
                  <pic:blipFill>
                    <a:blip r:embed="rId25"/>
                    <a:stretch>
                      <a:fillRect/>
                    </a:stretch>
                  </pic:blipFill>
                  <pic:spPr bwMode="auto">
                    <a:xfrm>
                      <a:off x="0" y="0"/>
                      <a:ext cx="5334000" cy="3459351"/>
                    </a:xfrm>
                    <a:prstGeom prst="rect">
                      <a:avLst/>
                    </a:prstGeom>
                    <a:noFill/>
                    <a:ln w="9525">
                      <a:noFill/>
                      <a:headEnd/>
                      <a:tailEnd/>
                    </a:ln>
                  </pic:spPr>
                </pic:pic>
              </a:graphicData>
            </a:graphic>
          </wp:inline>
        </w:drawing>
      </w:r>
    </w:p>
    <w:p>
      <w:pPr>
        <w:pStyle w:val="ImageCaption"/>
      </w:pPr>
      <w:r>
        <w:t xml:space="preserve">Figure 3. Renewal factor versus apparent holdup.</w:t>
      </w:r>
    </w:p>
    <w:p>
      <w:pPr>
        <w:pStyle w:val="CaptionedFigure"/>
      </w:pPr>
      <w:r>
        <w:drawing>
          <wp:inline>
            <wp:extent cx="5334000" cy="3459351"/>
            <wp:effectExtent b="0" l="0" r="0" t="0"/>
            <wp:docPr descr="Figure 4. Holdup-adjusted ESS proxy versus apparent holdup." title="" id="29" name="Picture"/>
            <a:graphic>
              <a:graphicData uri="http://schemas.openxmlformats.org/drawingml/2006/picture">
                <pic:pic>
                  <pic:nvPicPr>
                    <pic:cNvPr descr="plot_03_ess_proxy_vs_holdup.png" id="30" name="Picture"/>
                    <pic:cNvPicPr>
                      <a:picLocks noChangeArrowheads="1" noChangeAspect="1"/>
                    </pic:cNvPicPr>
                  </pic:nvPicPr>
                  <pic:blipFill>
                    <a:blip r:embed="rId28"/>
                    <a:stretch>
                      <a:fillRect/>
                    </a:stretch>
                  </pic:blipFill>
                  <pic:spPr bwMode="auto">
                    <a:xfrm>
                      <a:off x="0" y="0"/>
                      <a:ext cx="5334000" cy="3459351"/>
                    </a:xfrm>
                    <a:prstGeom prst="rect">
                      <a:avLst/>
                    </a:prstGeom>
                    <a:noFill/>
                    <a:ln w="9525">
                      <a:noFill/>
                      <a:headEnd/>
                      <a:tailEnd/>
                    </a:ln>
                  </pic:spPr>
                </pic:pic>
              </a:graphicData>
            </a:graphic>
          </wp:inline>
        </w:drawing>
      </w:r>
    </w:p>
    <w:p>
      <w:pPr>
        <w:pStyle w:val="ImageCaption"/>
      </w:pPr>
      <w:r>
        <w:t xml:space="preserve">Figure 4. Holdup-adjusted ESS proxy versus apparent holdup.</w:t>
      </w:r>
    </w:p>
    <w:p>
      <w:pPr>
        <w:pStyle w:val="CaptionedFigure"/>
      </w:pPr>
      <w:r>
        <w:drawing>
          <wp:inline>
            <wp:extent cx="5334000" cy="3459351"/>
            <wp:effectExtent b="0" l="0" r="0" t="0"/>
            <wp:docPr descr="Figure 5. ESS proxy versus penetration depth for selected holdup values." title="" id="32" name="Picture"/>
            <a:graphic>
              <a:graphicData uri="http://schemas.openxmlformats.org/drawingml/2006/picture">
                <pic:pic>
                  <pic:nvPicPr>
                    <pic:cNvPr descr="plot_04_ess_proxy_vs_penetration_selected_holdups.png" id="33" name="Picture"/>
                    <pic:cNvPicPr>
                      <a:picLocks noChangeArrowheads="1" noChangeAspect="1"/>
                    </pic:cNvPicPr>
                  </pic:nvPicPr>
                  <pic:blipFill>
                    <a:blip r:embed="rId31"/>
                    <a:stretch>
                      <a:fillRect/>
                    </a:stretch>
                  </pic:blipFill>
                  <pic:spPr bwMode="auto">
                    <a:xfrm>
                      <a:off x="0" y="0"/>
                      <a:ext cx="5334000" cy="3459351"/>
                    </a:xfrm>
                    <a:prstGeom prst="rect">
                      <a:avLst/>
                    </a:prstGeom>
                    <a:noFill/>
                    <a:ln w="9525">
                      <a:noFill/>
                      <a:headEnd/>
                      <a:tailEnd/>
                    </a:ln>
                  </pic:spPr>
                </pic:pic>
              </a:graphicData>
            </a:graphic>
          </wp:inline>
        </w:drawing>
      </w:r>
    </w:p>
    <w:p>
      <w:pPr>
        <w:pStyle w:val="ImageCaption"/>
      </w:pPr>
      <w:r>
        <w:t xml:space="preserve">Figure 5. ESS proxy versus penetration depth for selected holdup values.</w:t>
      </w:r>
    </w:p>
    <w:p>
      <w:pPr>
        <w:pStyle w:val="CaptionedFigure"/>
      </w:pPr>
      <w:r>
        <w:drawing>
          <wp:inline>
            <wp:extent cx="5334000" cy="3465847"/>
            <wp:effectExtent b="0" l="0" r="0" t="0"/>
            <wp:docPr descr="Figure 6. ESS proxy contour versus holdup and penetration depth." title="" id="35" name="Picture"/>
            <a:graphic>
              <a:graphicData uri="http://schemas.openxmlformats.org/drawingml/2006/picture">
                <pic:pic>
                  <pic:nvPicPr>
                    <pic:cNvPr descr="plot_05_contour_ess_proxy_holdup_penetration.png" id="36" name="Picture"/>
                    <pic:cNvPicPr>
                      <a:picLocks noChangeArrowheads="1" noChangeAspect="1"/>
                    </pic:cNvPicPr>
                  </pic:nvPicPr>
                  <pic:blipFill>
                    <a:blip r:embed="rId34"/>
                    <a:stretch>
                      <a:fillRect/>
                    </a:stretch>
                  </pic:blipFill>
                  <pic:spPr bwMode="auto">
                    <a:xfrm>
                      <a:off x="0" y="0"/>
                      <a:ext cx="5334000" cy="3465847"/>
                    </a:xfrm>
                    <a:prstGeom prst="rect">
                      <a:avLst/>
                    </a:prstGeom>
                    <a:noFill/>
                    <a:ln w="9525">
                      <a:noFill/>
                      <a:headEnd/>
                      <a:tailEnd/>
                    </a:ln>
                  </pic:spPr>
                </pic:pic>
              </a:graphicData>
            </a:graphic>
          </wp:inline>
        </w:drawing>
      </w:r>
    </w:p>
    <w:p>
      <w:pPr>
        <w:pStyle w:val="ImageCaption"/>
      </w:pPr>
      <w:r>
        <w:t xml:space="preserve">Figure 6. ESS proxy contour versus holdup and penetration depth.</w:t>
      </w:r>
    </w:p>
    <w:p>
      <w:pPr>
        <w:pStyle w:val="BodyText"/>
      </w:pPr>
      <w:r>
        <w:drawing>
          <wp:inline>
            <wp:extent cx="5334000" cy="3459351"/>
            <wp:effectExtent b="0" l="0" r="0" t="0"/>
            <wp:docPr descr="Figure 7. Baseline mass-scale comparison for one acquisition." title="" id="38" name="Picture"/>
            <a:graphic>
              <a:graphicData uri="http://schemas.openxmlformats.org/drawingml/2006/picture">
                <pic:pic>
                  <pic:nvPicPr>
                    <pic:cNvPr descr="plot_06_mass_scale_comparison.png" id="39" name="Picture"/>
                    <pic:cNvPicPr>
                      <a:picLocks noChangeArrowheads="1" noChangeAspect="1"/>
                    </pic:cNvPicPr>
                  </pic:nvPicPr>
                  <pic:blipFill>
                    <a:blip r:embed="rId37"/>
                    <a:stretch>
                      <a:fillRect/>
                    </a:stretch>
                  </pic:blipFill>
                  <pic:spPr bwMode="auto">
                    <a:xfrm>
                      <a:off x="0" y="0"/>
                      <a:ext cx="5334000" cy="3459351"/>
                    </a:xfrm>
                    <a:prstGeom prst="rect">
                      <a:avLst/>
                    </a:prstGeom>
                    <a:noFill/>
                    <a:ln w="9525">
                      <a:noFill/>
                      <a:headEnd/>
                      <a:tailEnd/>
                    </a:ln>
                  </pic:spPr>
                </pic:pic>
              </a:graphicData>
            </a:graphic>
          </wp:inline>
        </w:drawing>
      </w:r>
      <w:r>
        <w:t xml:space="preserve"> </w:t>
      </w:r>
      <w:r>
        <w:t xml:space="preserve">## Results Interpretation</w:t>
      </w:r>
    </w:p>
    <w:p>
      <w:pPr>
        <w:pStyle w:val="BodyText"/>
      </w:pPr>
      <w:r>
        <w:t xml:space="preserve">The full-pipe superficial-velocity case should be interpreted as a conservative low-velocity reference. Lower apparent holdup values produce higher estimated local velocities because the same process mass flow is transported through a smaller occupied region of the pipe. As a result, powder renews more rapidly in front of the NIR window and the estimated one-spectrum ESS proxy increases approximately in proportion to 1/phi_A, provided optical density, window coverage, and wall velocity correction remain unchanged. The nominal 30% holdup case should therefore be viewed as a pragmatic engineering estimate, while the holdup sensitivity range communicates the uncertainty in the unmeasured local velocity.</w:t>
      </w:r>
    </w:p>
    <w:p>
      <w:pPr>
        <w:pStyle w:val="BodyText"/>
      </w:pPr>
      <w:r>
        <w:t xml:space="preserve">For the baseline case, total process mass passing the full pipe cross-section during one 1.8 s spectrum is about 47.5 g, while the NIR proxy quantities are much smaller because they represent a near-wall optical subset.</w:t>
      </w:r>
      <w:r>
        <w:t xml:space="preserve"> </w:t>
      </w:r>
      <w:r>
        <w:t xml:space="preserve">## Limitations</w:t>
      </w:r>
    </w:p>
    <w:p>
      <w:pPr>
        <w:pStyle w:val="Compact"/>
        <w:numPr>
          <w:ilvl w:val="0"/>
          <w:numId w:val="1008"/>
        </w:numPr>
      </w:pPr>
      <w:r>
        <w:t xml:space="preserve">The local velocity at the NIR window is not directly measured.</w:t>
      </w:r>
    </w:p>
    <w:p>
      <w:pPr>
        <w:pStyle w:val="Compact"/>
        <w:numPr>
          <w:ilvl w:val="0"/>
          <w:numId w:val="1008"/>
        </w:numPr>
      </w:pPr>
      <w:r>
        <w:t xml:space="preserve">Apparent holdup is an assumed parameter informed by engineering judgment.</w:t>
      </w:r>
    </w:p>
    <w:p>
      <w:pPr>
        <w:pStyle w:val="Compact"/>
        <w:numPr>
          <w:ilvl w:val="0"/>
          <w:numId w:val="1008"/>
        </w:numPr>
      </w:pPr>
      <w:r>
        <w:t xml:space="preserve">Wall velocity factor and window coverage fraction are not independently measured in this notebook.</w:t>
      </w:r>
    </w:p>
    <w:p>
      <w:pPr>
        <w:pStyle w:val="Compact"/>
        <w:numPr>
          <w:ilvl w:val="0"/>
          <w:numId w:val="1008"/>
        </w:numPr>
      </w:pPr>
      <w:r>
        <w:t xml:space="preserve">The optical depth is modeled as a uniform effective penetration depth.</w:t>
      </w:r>
    </w:p>
    <w:p>
      <w:pPr>
        <w:pStyle w:val="Compact"/>
        <w:numPr>
          <w:ilvl w:val="0"/>
          <w:numId w:val="1008"/>
        </w:numPr>
      </w:pPr>
      <w:r>
        <w:t xml:space="preserve">The ESS quantity reported here is a mechanistic proxy for near-wall contributing mass, not a validated statistical ESS metric.</w:t>
      </w:r>
      <w:r>
        <w:t xml:space="preserve"> </w:t>
      </w:r>
      <w:r>
        <w:t xml:space="preserve">## Next Logical Extensions</w:t>
      </w:r>
    </w:p>
    <w:p>
      <w:pPr>
        <w:pStyle w:val="FirstParagraph"/>
      </w:pPr>
      <w:r>
        <w:t xml:space="preserve">Natural next steps for reducing model uncertainty are:</w:t>
      </w:r>
    </w:p>
    <w:p>
      <w:pPr>
        <w:pStyle w:val="Compact"/>
        <w:numPr>
          <w:ilvl w:val="0"/>
          <w:numId w:val="1009"/>
        </w:numPr>
      </w:pPr>
      <w:r>
        <w:t xml:space="preserve">acquire direct probe-region velocity evidence and use it to constrain</w:t>
      </w:r>
      <w:r>
        <w:t xml:space="preserve"> </w:t>
      </w:r>
      <m:oMath>
        <m:sSub>
          <m:e>
            <m:r>
              <m:t>ϕ</m:t>
            </m:r>
          </m:e>
          <m:sub>
            <m:r>
              <m:t>A</m:t>
            </m:r>
          </m:sub>
        </m:sSub>
      </m:oMath>
      <w:r>
        <w:t xml:space="preserve"> </w:t>
      </w:r>
      <w:r>
        <w:t xml:space="preserve">and</w:t>
      </w:r>
      <w:r>
        <w:t xml:space="preserve"> </w:t>
      </w:r>
      <m:oMath>
        <m:sSub>
          <m:e>
            <m:r>
              <m:t>k</m:t>
            </m:r>
          </m:e>
          <m:sub>
            <m:r>
              <m:t>w</m:t>
            </m:r>
            <m:r>
              <m:t>a</m:t>
            </m:r>
            <m:r>
              <m:t>l</m:t>
            </m:r>
            <m:r>
              <m:t>l</m:t>
            </m:r>
          </m:sub>
        </m:sSub>
      </m:oMath>
    </w:p>
    <w:p>
      <w:pPr>
        <w:pStyle w:val="Compact"/>
        <w:numPr>
          <w:ilvl w:val="0"/>
          <w:numId w:val="1009"/>
        </w:numPr>
      </w:pPr>
      <w:r>
        <w:t xml:space="preserve">introduce intermittent coverage models where window coverage fraction falls below 1.0</w:t>
      </w:r>
    </w:p>
    <w:p>
      <w:pPr>
        <w:pStyle w:val="Compact"/>
        <w:numPr>
          <w:ilvl w:val="0"/>
          <w:numId w:val="1009"/>
        </w:numPr>
      </w:pPr>
      <w:r>
        <w:t xml:space="preserve">add uncertainty bands combining holdup, wall factor, and optical-density assumptions</w:t>
      </w:r>
    </w:p>
    <w:p>
      <w:pPr>
        <w:pStyle w:val="Compact"/>
        <w:numPr>
          <w:ilvl w:val="0"/>
          <w:numId w:val="1009"/>
        </w:numPr>
      </w:pPr>
      <w:r>
        <w:t xml:space="preserve">compare predicted ESS proxy trends against NIR spectral variance trends across throughput conditions</w:t>
      </w:r>
      <w:r>
        <w:t xml:space="preserve"> </w:t>
      </w:r>
      <w:r>
        <w:t xml:space="preserve">## Appendices</w:t>
      </w:r>
    </w:p>
    <w:bookmarkEnd w:id="40"/>
    <w:bookmarkStart w:id="41" w:name="glossary-of-variables-and-symbols"/>
    <w:p>
      <w:pPr>
        <w:pStyle w:val="Heading2"/>
      </w:pPr>
      <w:r>
        <w:t xml:space="preserve">Glossary of Variables and Symbols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Symbol</w:t>
            </w:r>
          </w:p>
        </w:tc>
        <w:tc>
          <w:tcPr/>
          <w:p>
            <w:pPr>
              <w:pStyle w:val="Compact"/>
            </w:pPr>
            <w:r>
              <w:t xml:space="preserve">Name</w:t>
            </w:r>
          </w:p>
        </w:tc>
        <w:tc>
          <w:tcPr/>
          <w:p>
            <w:pPr>
              <w:pStyle w:val="Compact"/>
            </w:pPr>
            <w:r>
              <w:t xml:space="preserve">Meaning</w:t>
            </w:r>
          </w:p>
        </w:tc>
        <w:tc>
          <w:tcPr/>
          <w:p>
            <w:pPr>
              <w:pStyle w:val="Compact"/>
            </w:pPr>
            <w:r>
              <w:t xml:space="preserve">Units</w:t>
            </w:r>
          </w:p>
        </w:tc>
      </w:tr>
      <w:tr>
        <w:tc>
          <w:tcPr/>
          <w:p>
            <w:pPr>
              <w:pStyle w:val="Compact"/>
            </w:pPr>
            <m:oMath>
              <m:acc>
                <m:accPr>
                  <m:chr m:val="̇"/>
                </m:accPr>
                <m:e>
                  <m:r>
                    <m:t>m</m:t>
                  </m:r>
                </m:e>
              </m:acc>
            </m:oMath>
          </w:p>
        </w:tc>
        <w:tc>
          <w:tcPr/>
          <w:p>
            <w:pPr>
              <w:pStyle w:val="Compact"/>
            </w:pPr>
            <w:r>
              <w:t xml:space="preserve">Mass flow</w:t>
            </w:r>
          </w:p>
        </w:tc>
        <w:tc>
          <w:tcPr/>
          <w:p>
            <w:pPr>
              <w:pStyle w:val="Compact"/>
            </w:pPr>
            <w:r>
              <w:t xml:space="preserve">Process powder throughput</w:t>
            </w:r>
          </w:p>
        </w:tc>
        <w:tc>
          <w:tcPr/>
          <w:p>
            <w:pPr>
              <w:pStyle w:val="Compact"/>
            </w:pPr>
            <w:r>
              <w:t xml:space="preserve">kg/h input; g/s internal</w:t>
            </w:r>
          </w:p>
        </w:tc>
      </w:tr>
      <w:tr>
        <w:tc>
          <w:tcPr/>
          <w:p>
            <w:pPr>
              <w:pStyle w:val="Compact"/>
            </w:pPr>
            <m:oMath>
              <m:sSub>
                <m:e>
                  <m:r>
                    <m:t>ρ</m:t>
                  </m:r>
                </m:e>
                <m:sub>
                  <m:r>
                    <m:t>f</m:t>
                  </m:r>
                  <m:r>
                    <m:t>l</m:t>
                  </m:r>
                  <m:r>
                    <m:t>o</m:t>
                  </m:r>
                  <m:r>
                    <m:t>w</m:t>
                  </m:r>
                </m:sub>
              </m:sSub>
            </m:oMath>
          </w:p>
        </w:tc>
        <w:tc>
          <w:tcPr/>
          <w:p>
            <w:pPr>
              <w:pStyle w:val="Compact"/>
            </w:pPr>
            <w:r>
              <w:t xml:space="preserve">Flow bulk density</w:t>
            </w:r>
          </w:p>
        </w:tc>
        <w:tc>
          <w:tcPr/>
          <w:p>
            <w:pPr>
              <w:pStyle w:val="Compact"/>
            </w:pPr>
            <w:r>
              <w:t xml:space="preserve">Dynamic bulk density used in mass-balance velocity estimate</w:t>
            </w:r>
          </w:p>
        </w:tc>
        <w:tc>
          <w:tcPr/>
          <w:p>
            <w:pPr>
              <w:pStyle w:val="Compact"/>
            </w:pPr>
            <w:r>
              <w:t xml:space="preserve">g/cm^3</w:t>
            </w:r>
          </w:p>
        </w:tc>
      </w:tr>
      <w:tr>
        <w:tc>
          <w:tcPr/>
          <w:p>
            <w:pPr>
              <w:pStyle w:val="Compact"/>
            </w:pPr>
            <m:oMath>
              <m:sSub>
                <m:e>
                  <m:r>
                    <m:t>ρ</m:t>
                  </m:r>
                </m:e>
                <m:sub>
                  <m:r>
                    <m:t>o</m:t>
                  </m:r>
                  <m:r>
                    <m:t>p</m:t>
                  </m:r>
                  <m:r>
                    <m:t>t</m:t>
                  </m:r>
                </m:sub>
              </m:sSub>
            </m:oMath>
          </w:p>
        </w:tc>
        <w:tc>
          <w:tcPr/>
          <w:p>
            <w:pPr>
              <w:pStyle w:val="Compact"/>
            </w:pPr>
            <w:r>
              <w:t xml:space="preserve">Optical density</w:t>
            </w:r>
          </w:p>
        </w:tc>
        <w:tc>
          <w:tcPr/>
          <w:p>
            <w:pPr>
              <w:pStyle w:val="Compact"/>
            </w:pPr>
            <w:r>
              <w:t xml:space="preserve">Optical-region density used for optical mass proxy</w:t>
            </w:r>
          </w:p>
        </w:tc>
        <w:tc>
          <w:tcPr/>
          <w:p>
            <w:pPr>
              <w:pStyle w:val="Compact"/>
            </w:pPr>
            <w:r>
              <w:t xml:space="preserve">g/cm^3</w:t>
            </w:r>
          </w:p>
        </w:tc>
      </w:tr>
      <w:tr>
        <w:tc>
          <w:tcPr/>
          <w:p>
            <w:pPr>
              <w:pStyle w:val="Compact"/>
            </w:pPr>
            <m:oMath>
              <m:sSub>
                <m:e>
                  <m:r>
                    <m:t>A</m:t>
                  </m:r>
                </m:e>
                <m:sub>
                  <m:r>
                    <m:t>p</m:t>
                  </m:r>
                  <m:r>
                    <m:t>i</m:t>
                  </m:r>
                  <m:r>
                    <m:t>p</m:t>
                  </m:r>
                  <m:r>
                    <m:t>e</m:t>
                  </m:r>
                </m:sub>
              </m:sSub>
            </m:oMath>
          </w:p>
        </w:tc>
        <w:tc>
          <w:tcPr/>
          <w:p>
            <w:pPr>
              <w:pStyle w:val="Compact"/>
            </w:pPr>
            <w:r>
              <w:t xml:space="preserve">Pipe area</w:t>
            </w:r>
          </w:p>
        </w:tc>
        <w:tc>
          <w:tcPr/>
          <w:p>
            <w:pPr>
              <w:pStyle w:val="Compact"/>
            </w:pPr>
            <w:r>
              <w:t xml:space="preserve">Full internal pipe cross-sectional area</w:t>
            </w:r>
          </w:p>
        </w:tc>
        <w:tc>
          <w:tcPr/>
          <w:p>
            <w:pPr>
              <w:pStyle w:val="Compact"/>
            </w:pPr>
            <w:r>
              <w:t xml:space="preserve">cm^2</w:t>
            </w:r>
          </w:p>
        </w:tc>
      </w:tr>
      <w:tr>
        <w:tc>
          <w:tcPr/>
          <w:p>
            <w:pPr>
              <w:pStyle w:val="Compact"/>
            </w:pPr>
            <m:oMath>
              <m:sSub>
                <m:e>
                  <m:r>
                    <m:t>A</m:t>
                  </m:r>
                </m:e>
                <m:sub>
                  <m:r>
                    <m:t>p</m:t>
                  </m:r>
                  <m:r>
                    <m:t>r</m:t>
                  </m:r>
                  <m:r>
                    <m:t>o</m:t>
                  </m:r>
                  <m:r>
                    <m:t>b</m:t>
                  </m:r>
                  <m:r>
                    <m:t>e</m:t>
                  </m:r>
                </m:sub>
              </m:sSub>
            </m:oMath>
          </w:p>
        </w:tc>
        <w:tc>
          <w:tcPr/>
          <w:p>
            <w:pPr>
              <w:pStyle w:val="Compact"/>
            </w:pPr>
            <w:r>
              <w:t xml:space="preserve">Probe area</w:t>
            </w:r>
          </w:p>
        </w:tc>
        <w:tc>
          <w:tcPr/>
          <w:p>
            <w:pPr>
              <w:pStyle w:val="Compact"/>
            </w:pPr>
            <w:r>
              <w:t xml:space="preserve">Probe-window footprint area</w:t>
            </w:r>
          </w:p>
        </w:tc>
        <w:tc>
          <w:tcPr/>
          <w:p>
            <w:pPr>
              <w:pStyle w:val="Compact"/>
            </w:pPr>
            <w:r>
              <w:t xml:space="preserve">cm^2</w:t>
            </w:r>
          </w:p>
        </w:tc>
      </w:tr>
      <w:tr>
        <w:tc>
          <w:tcPr/>
          <w:p>
            <w:pPr>
              <w:pStyle w:val="Compact"/>
            </w:pPr>
            <m:oMath>
              <m:sSub>
                <m:e>
                  <m:r>
                    <m:t>ϕ</m:t>
                  </m:r>
                </m:e>
                <m:sub>
                  <m:r>
                    <m:t>A</m:t>
                  </m:r>
                </m:sub>
              </m:sSub>
            </m:oMath>
          </w:p>
        </w:tc>
        <w:tc>
          <w:tcPr/>
          <w:p>
            <w:pPr>
              <w:pStyle w:val="Compact"/>
            </w:pPr>
            <w:r>
              <w:t xml:space="preserve">Apparent holdup fraction</w:t>
            </w:r>
          </w:p>
        </w:tc>
        <w:tc>
          <w:tcPr/>
          <w:p>
            <w:pPr>
              <w:pStyle w:val="Compact"/>
            </w:pPr>
            <w:r>
              <w:t xml:space="preserve">Apparent fraction of cross-section occupied by moving powder</w:t>
            </w:r>
          </w:p>
        </w:tc>
        <w:tc>
          <w:tcPr/>
          <w:p>
            <w:pPr>
              <w:pStyle w:val="Compact"/>
            </w:pPr>
            <w:r>
              <w:t xml:space="preserve">-</w:t>
            </w:r>
          </w:p>
        </w:tc>
      </w:tr>
      <w:tr>
        <w:tc>
          <w:tcPr/>
          <w:p>
            <w:pPr>
              <w:pStyle w:val="Compact"/>
            </w:pPr>
            <m:oMath>
              <m:sSub>
                <m:e>
                  <m:r>
                    <m:t>v</m:t>
                  </m:r>
                </m:e>
                <m:sub>
                  <m:r>
                    <m:t>s</m:t>
                  </m:r>
                  <m:r>
                    <m:t>u</m:t>
                  </m:r>
                  <m:r>
                    <m:t>p</m:t>
                  </m:r>
                </m:sub>
              </m:sSub>
            </m:oMath>
          </w:p>
        </w:tc>
        <w:tc>
          <w:tcPr/>
          <w:p>
            <w:pPr>
              <w:pStyle w:val="Compact"/>
            </w:pPr>
            <w:r>
              <w:t xml:space="preserve">Superficial velocity</w:t>
            </w:r>
          </w:p>
        </w:tc>
        <w:tc>
          <w:tcPr/>
          <w:p>
            <w:pPr>
              <w:pStyle w:val="Compact"/>
            </w:pPr>
            <w:r>
              <w:t xml:space="preserve">Mass-balance velocity based on full pipe area</w:t>
            </w:r>
          </w:p>
        </w:tc>
        <w:tc>
          <w:tcPr/>
          <w:p>
            <w:pPr>
              <w:pStyle w:val="Compact"/>
            </w:pPr>
            <w:r>
              <w:t xml:space="preserve">cm/s</w:t>
            </w:r>
          </w:p>
        </w:tc>
      </w:tr>
      <w:tr>
        <w:tc>
          <w:tcPr/>
          <w:p>
            <w:pPr>
              <w:pStyle w:val="Compact"/>
            </w:pPr>
            <m:oMath>
              <m:sSub>
                <m:e>
                  <m:r>
                    <m:t>v</m:t>
                  </m:r>
                </m:e>
                <m:sub>
                  <m:r>
                    <m:t>o</m:t>
                  </m:r>
                  <m:r>
                    <m:t>c</m:t>
                  </m:r>
                  <m:r>
                    <m:t>c</m:t>
                  </m:r>
                </m:sub>
              </m:sSub>
            </m:oMath>
          </w:p>
        </w:tc>
        <w:tc>
          <w:tcPr/>
          <w:p>
            <w:pPr>
              <w:pStyle w:val="Compact"/>
            </w:pPr>
            <w:r>
              <w:t xml:space="preserve">Occupied-region velocity</w:t>
            </w:r>
          </w:p>
        </w:tc>
        <w:tc>
          <w:tcPr/>
          <w:p>
            <w:pPr>
              <w:pStyle w:val="Compact"/>
            </w:pPr>
            <w:r>
              <w:t xml:space="preserve">Velocity in the occupied moving region from holdup correction</w:t>
            </w:r>
          </w:p>
        </w:tc>
        <w:tc>
          <w:tcPr/>
          <w:p>
            <w:pPr>
              <w:pStyle w:val="Compact"/>
            </w:pPr>
            <w:r>
              <w:t xml:space="preserve">cm/s</w:t>
            </w:r>
          </w:p>
        </w:tc>
      </w:tr>
      <w:tr>
        <w:tc>
          <w:tcPr/>
          <w:p>
            <w:pPr>
              <w:pStyle w:val="Compact"/>
            </w:pPr>
            <m:oMath>
              <m:sSub>
                <m:e>
                  <m:r>
                    <m:t>v</m:t>
                  </m:r>
                </m:e>
                <m:sub>
                  <m:r>
                    <m:t>p</m:t>
                  </m:r>
                  <m:r>
                    <m:t>r</m:t>
                  </m:r>
                  <m:r>
                    <m:t>o</m:t>
                  </m:r>
                  <m:r>
                    <m:t>b</m:t>
                  </m:r>
                  <m:r>
                    <m:t>e</m:t>
                  </m:r>
                </m:sub>
              </m:sSub>
            </m:oMath>
          </w:p>
        </w:tc>
        <w:tc>
          <w:tcPr/>
          <w:p>
            <w:pPr>
              <w:pStyle w:val="Compact"/>
            </w:pPr>
            <w:r>
              <w:t xml:space="preserve">Estimated local probe velocity</w:t>
            </w:r>
          </w:p>
        </w:tc>
        <w:tc>
          <w:tcPr/>
          <w:p>
            <w:pPr>
              <w:pStyle w:val="Compact"/>
            </w:pPr>
            <w:r>
              <w:t xml:space="preserve">Local velocity estimate after holdup and wall-factor correction</w:t>
            </w:r>
          </w:p>
        </w:tc>
        <w:tc>
          <w:tcPr/>
          <w:p>
            <w:pPr>
              <w:pStyle w:val="Compact"/>
            </w:pPr>
            <w:r>
              <w:t xml:space="preserve">cm/s</w:t>
            </w:r>
          </w:p>
        </w:tc>
      </w:tr>
      <w:tr>
        <w:tc>
          <w:tcPr/>
          <w:p>
            <w:pPr>
              <w:pStyle w:val="Compact"/>
            </w:pPr>
            <m:oMath>
              <m:sSub>
                <m:e>
                  <m:r>
                    <m:t>k</m:t>
                  </m:r>
                </m:e>
                <m:sub>
                  <m:r>
                    <m:t>w</m:t>
                  </m:r>
                  <m:r>
                    <m:t>a</m:t>
                  </m:r>
                  <m:r>
                    <m:t>l</m:t>
                  </m:r>
                  <m:r>
                    <m:t>l</m:t>
                  </m:r>
                </m:sub>
              </m:sSub>
            </m:oMath>
          </w:p>
        </w:tc>
        <w:tc>
          <w:tcPr/>
          <w:p>
            <w:pPr>
              <w:pStyle w:val="Compact"/>
            </w:pPr>
            <w:r>
              <w:t xml:space="preserve">Wall velocity factor</w:t>
            </w:r>
          </w:p>
        </w:tc>
        <w:tc>
          <w:tcPr/>
          <w:p>
            <w:pPr>
              <w:pStyle w:val="Compact"/>
            </w:pPr>
            <w:r>
              <w:t xml:space="preserve">Empirical factor for wall-adjacent velocity vs occupied-region average</w:t>
            </w:r>
          </w:p>
        </w:tc>
        <w:tc>
          <w:tcPr/>
          <w:p>
            <w:pPr>
              <w:pStyle w:val="Compact"/>
            </w:pPr>
            <w:r>
              <w:t xml:space="preserve">-</w:t>
            </w:r>
          </w:p>
        </w:tc>
      </w:tr>
      <w:tr>
        <w:tc>
          <w:tcPr/>
          <w:p>
            <w:pPr>
              <w:pStyle w:val="Compact"/>
            </w:pPr>
            <m:oMath>
              <m:sSub>
                <m:e>
                  <m:r>
                    <m:t>C</m:t>
                  </m:r>
                </m:e>
                <m:sub>
                  <m:r>
                    <m:t>w</m:t>
                  </m:r>
                  <m:r>
                    <m:t>i</m:t>
                  </m:r>
                  <m:r>
                    <m:t>n</m:t>
                  </m:r>
                  <m:r>
                    <m:t>d</m:t>
                  </m:r>
                  <m:r>
                    <m:t>o</m:t>
                  </m:r>
                  <m:r>
                    <m:t>w</m:t>
                  </m:r>
                </m:sub>
              </m:sSub>
            </m:oMath>
          </w:p>
        </w:tc>
        <w:tc>
          <w:tcPr/>
          <w:p>
            <w:pPr>
              <w:pStyle w:val="Compact"/>
            </w:pPr>
            <w:r>
              <w:t xml:space="preserve">Window coverage fraction</w:t>
            </w:r>
          </w:p>
        </w:tc>
        <w:tc>
          <w:tcPr/>
          <w:p>
            <w:pPr>
              <w:pStyle w:val="Compact"/>
            </w:pPr>
            <w:r>
              <w:t xml:space="preserve">Fraction of acquisition time when probe window is covered by powder</w:t>
            </w:r>
          </w:p>
        </w:tc>
        <w:tc>
          <w:tcPr/>
          <w:p>
            <w:pPr>
              <w:pStyle w:val="Compact"/>
            </w:pPr>
            <w:r>
              <w:t xml:space="preserve">-</w:t>
            </w:r>
          </w:p>
        </w:tc>
      </w:tr>
      <w:tr>
        <w:tc>
          <w:tcPr/>
          <w:p>
            <w:pPr>
              <w:pStyle w:val="Compact"/>
            </w:pPr>
            <m:oMath>
              <m:sSub>
                <m:e>
                  <m:r>
                    <m:t>d</m:t>
                  </m:r>
                </m:e>
                <m:sub>
                  <m:r>
                    <m:t>p</m:t>
                  </m:r>
                  <m:r>
                    <m:t>r</m:t>
                  </m:r>
                  <m:r>
                    <m:t>o</m:t>
                  </m:r>
                  <m:r>
                    <m:t>b</m:t>
                  </m:r>
                  <m:r>
                    <m:t>e</m:t>
                  </m:r>
                </m:sub>
              </m:sSub>
            </m:oMath>
          </w:p>
        </w:tc>
        <w:tc>
          <w:tcPr/>
          <w:p>
            <w:pPr>
              <w:pStyle w:val="Compact"/>
            </w:pPr>
            <w:r>
              <w:t xml:space="preserve">Probe diameter</w:t>
            </w:r>
          </w:p>
        </w:tc>
        <w:tc>
          <w:tcPr/>
          <w:p>
            <w:pPr>
              <w:pStyle w:val="Compact"/>
            </w:pPr>
            <w:r>
              <w:t xml:space="preserve">Probe-window diameter</w:t>
            </w:r>
          </w:p>
        </w:tc>
        <w:tc>
          <w:tcPr/>
          <w:p>
            <w:pPr>
              <w:pStyle w:val="Compact"/>
            </w:pPr>
            <w:r>
              <w:t xml:space="preserve">mm input; cm internal</w:t>
            </w:r>
          </w:p>
        </w:tc>
      </w:tr>
      <w:tr>
        <w:tc>
          <w:tcPr/>
          <w:p>
            <w:pPr>
              <w:pStyle w:val="Compact"/>
            </w:pPr>
            <m:oMath>
              <m:sSub>
                <m:e>
                  <m:r>
                    <m:t>d</m:t>
                  </m:r>
                </m:e>
                <m:sub>
                  <m:r>
                    <m:t>p</m:t>
                  </m:r>
                  <m:r>
                    <m:t>e</m:t>
                  </m:r>
                  <m:r>
                    <m:t>n</m:t>
                  </m:r>
                </m:sub>
              </m:sSub>
            </m:oMath>
          </w:p>
        </w:tc>
        <w:tc>
          <w:tcPr/>
          <w:p>
            <w:pPr>
              <w:pStyle w:val="Compact"/>
            </w:pPr>
            <w:r>
              <w:t xml:space="preserve">Optical penetration depth</w:t>
            </w:r>
          </w:p>
        </w:tc>
        <w:tc>
          <w:tcPr/>
          <w:p>
            <w:pPr>
              <w:pStyle w:val="Compact"/>
            </w:pPr>
            <w:r>
              <w:t xml:space="preserve">Effective radial optical depth</w:t>
            </w:r>
          </w:p>
        </w:tc>
        <w:tc>
          <w:tcPr/>
          <w:p>
            <w:pPr>
              <w:pStyle w:val="Compact"/>
            </w:pPr>
            <w:r>
              <w:t xml:space="preserve">mm input; cm internal</w:t>
            </w:r>
          </w:p>
        </w:tc>
      </w:tr>
      <w:tr>
        <w:tc>
          <w:tcPr/>
          <w:p>
            <w:pPr>
              <w:pStyle w:val="Compact"/>
            </w:pPr>
            <m:oMath>
              <m:sSub>
                <m:e>
                  <m:r>
                    <m:t>t</m:t>
                  </m:r>
                </m:e>
                <m:sub>
                  <m:r>
                    <m:t>a</m:t>
                  </m:r>
                  <m:r>
                    <m:t>c</m:t>
                  </m:r>
                  <m:r>
                    <m:t>q</m:t>
                  </m:r>
                </m:sub>
              </m:sSub>
            </m:oMath>
          </w:p>
        </w:tc>
        <w:tc>
          <w:tcPr/>
          <w:p>
            <w:pPr>
              <w:pStyle w:val="Compact"/>
            </w:pPr>
            <w:r>
              <w:t xml:space="preserve">Acquisition time</w:t>
            </w:r>
          </w:p>
        </w:tc>
        <w:tc>
          <w:tcPr/>
          <w:p>
            <w:pPr>
              <w:pStyle w:val="Compact"/>
            </w:pPr>
            <w:r>
              <w:t xml:space="preserve">One-spectrum acquisition duration</w:t>
            </w:r>
          </w:p>
        </w:tc>
        <w:tc>
          <w:tcPr/>
          <w:p>
            <w:pPr>
              <w:pStyle w:val="Compact"/>
            </w:pPr>
            <w:r>
              <w:t xml:space="preserve">s</w:t>
            </w:r>
          </w:p>
        </w:tc>
      </w:tr>
      <w:tr>
        <w:tc>
          <w:tcPr/>
          <w:p>
            <w:pPr>
              <w:pStyle w:val="Compact"/>
            </w:pPr>
            <m:oMath>
              <m:sSub>
                <m:e>
                  <m:r>
                    <m:t>m</m:t>
                  </m:r>
                </m:e>
                <m:sub>
                  <m:r>
                    <m:t>i</m:t>
                  </m:r>
                  <m:r>
                    <m:t>n</m:t>
                  </m:r>
                  <m:r>
                    <m:t>s</m:t>
                  </m:r>
                  <m:r>
                    <m:t>t</m:t>
                  </m:r>
                </m:sub>
              </m:sSub>
            </m:oMath>
          </w:p>
        </w:tc>
        <w:tc>
          <w:tcPr/>
          <w:p>
            <w:pPr>
              <w:pStyle w:val="Compact"/>
            </w:pPr>
            <w:r>
              <w:t xml:space="preserve">Instantaneous optical mass</w:t>
            </w:r>
          </w:p>
        </w:tc>
        <w:tc>
          <w:tcPr/>
          <w:p>
            <w:pPr>
              <w:pStyle w:val="Compact"/>
            </w:pPr>
            <w:r>
              <w:t xml:space="preserve">Near-wall optical mass at one instant</w:t>
            </w:r>
          </w:p>
        </w:tc>
        <w:tc>
          <w:tcPr/>
          <w:p>
            <w:pPr>
              <w:pStyle w:val="Compact"/>
            </w:pPr>
            <w:r>
              <w:t xml:space="preserve">g internal; mg reported</w:t>
            </w:r>
          </w:p>
        </w:tc>
      </w:tr>
      <w:tr>
        <w:tc>
          <w:tcPr/>
          <w:p>
            <w:pPr>
              <w:pStyle w:val="Compact"/>
            </w:pPr>
            <m:oMath>
              <m:sSub>
                <m:e>
                  <m:r>
                    <m:t>N</m:t>
                  </m:r>
                </m:e>
                <m:sub>
                  <m:r>
                    <m:t>r</m:t>
                  </m:r>
                  <m:r>
                    <m:t>e</m:t>
                  </m:r>
                  <m:r>
                    <m:t>f</m:t>
                  </m:r>
                  <m:r>
                    <m:t>r</m:t>
                  </m:r>
                  <m:r>
                    <m:t>e</m:t>
                  </m:r>
                  <m:r>
                    <m:t>s</m:t>
                  </m:r>
                  <m:r>
                    <m:t>h</m:t>
                  </m:r>
                </m:sub>
              </m:sSub>
            </m:oMath>
          </w:p>
        </w:tc>
        <w:tc>
          <w:tcPr/>
          <w:p>
            <w:pPr>
              <w:pStyle w:val="Compact"/>
            </w:pPr>
            <w:r>
              <w:t xml:space="preserve">Renewal factor</w:t>
            </w:r>
          </w:p>
        </w:tc>
        <w:tc>
          <w:tcPr/>
          <w:p>
            <w:pPr>
              <w:pStyle w:val="Compact"/>
            </w:pPr>
            <w:r>
              <w:t xml:space="preserve">Effective number of probe-scale renewals during one spectrum</w:t>
            </w:r>
          </w:p>
        </w:tc>
        <w:tc>
          <w:tcPr/>
          <w:p>
            <w:pPr>
              <w:pStyle w:val="Compact"/>
            </w:pPr>
            <w:r>
              <w:t xml:space="preserve">-</w:t>
            </w:r>
          </w:p>
        </w:tc>
      </w:tr>
      <w:tr>
        <w:tc>
          <w:tcPr/>
          <w:p>
            <w:pPr>
              <w:pStyle w:val="Compact"/>
            </w:pPr>
            <m:oMath>
              <m:sSub>
                <m:e>
                  <m:r>
                    <m:t>m</m:t>
                  </m:r>
                </m:e>
                <m:sub>
                  <m:r>
                    <m:t>e</m:t>
                  </m:r>
                  <m:r>
                    <m:t>f</m:t>
                  </m:r>
                  <m:r>
                    <m:t>f</m:t>
                  </m:r>
                  <m:r>
                    <m:rPr>
                      <m:sty m:val="p"/>
                    </m:rPr>
                    <m:t>,</m:t>
                  </m:r>
                  <m:r>
                    <m:t>p</m:t>
                  </m:r>
                  <m:r>
                    <m:t>r</m:t>
                  </m:r>
                  <m:r>
                    <m:t>o</m:t>
                  </m:r>
                  <m:r>
                    <m:t>x</m:t>
                  </m:r>
                  <m:r>
                    <m:t>y</m:t>
                  </m:r>
                </m:sub>
              </m:sSub>
            </m:oMath>
          </w:p>
        </w:tc>
        <w:tc>
          <w:tcPr/>
          <w:p>
            <w:pPr>
              <w:pStyle w:val="Compact"/>
            </w:pPr>
            <w:r>
              <w:t xml:space="preserve">Holdup-adjusted ESS proxy</w:t>
            </w:r>
          </w:p>
        </w:tc>
        <w:tc>
          <w:tcPr/>
          <w:p>
            <w:pPr>
              <w:pStyle w:val="Compact"/>
            </w:pPr>
            <w:r>
              <w:t xml:space="preserve">Renewal-adjusted optical proxy mass for one spectrum</w:t>
            </w:r>
          </w:p>
        </w:tc>
        <w:tc>
          <w:tcPr/>
          <w:p>
            <w:pPr>
              <w:pStyle w:val="Compact"/>
            </w:pPr>
            <w:r>
              <w:t xml:space="preserve">g internal; mg reported</w:t>
            </w:r>
          </w:p>
        </w:tc>
      </w:tr>
      <w:tr>
        <w:tc>
          <w:tcPr/>
          <w:p>
            <w:pPr>
              <w:pStyle w:val="Compact"/>
            </w:pPr>
            <m:oMath>
              <m:sSub>
                <m:e>
                  <m:r>
                    <m:t>m</m:t>
                  </m:r>
                </m:e>
                <m:sub>
                  <m:r>
                    <m:t>s</m:t>
                  </m:r>
                  <m:r>
                    <m:t>w</m:t>
                  </m:r>
                  <m:r>
                    <m:t>e</m:t>
                  </m:r>
                  <m:r>
                    <m:t>p</m:t>
                  </m:r>
                  <m:r>
                    <m:t>t</m:t>
                  </m:r>
                </m:sub>
              </m:sSub>
            </m:oMath>
          </w:p>
        </w:tc>
        <w:tc>
          <w:tcPr/>
          <w:p>
            <w:pPr>
              <w:pStyle w:val="Compact"/>
            </w:pPr>
            <w:r>
              <w:t xml:space="preserve">Convective swept-ribbon mass</w:t>
            </w:r>
          </w:p>
        </w:tc>
        <w:tc>
          <w:tcPr/>
          <w:p>
            <w:pPr>
              <w:pStyle w:val="Compact"/>
            </w:pPr>
            <w:r>
              <w:t xml:space="preserve">Separate convective reference mass estimate near probe</w:t>
            </w:r>
          </w:p>
        </w:tc>
        <w:tc>
          <w:tcPr/>
          <w:p>
            <w:pPr>
              <w:pStyle w:val="Compact"/>
            </w:pPr>
            <w:r>
              <w:t xml:space="preserve">g</w:t>
            </w:r>
          </w:p>
        </w:tc>
      </w:tr>
      <w:tr>
        <w:tc>
          <w:tcPr/>
          <w:p>
            <w:pPr>
              <w:pStyle w:val="Compact"/>
            </w:pPr>
            <m:oMath>
              <m:sSub>
                <m:e>
                  <m:r>
                    <m:t>m</m:t>
                  </m:r>
                </m:e>
                <m:sub>
                  <m:r>
                    <m:t>p</m:t>
                  </m:r>
                  <m:r>
                    <m:t>r</m:t>
                  </m:r>
                  <m:r>
                    <m:t>o</m:t>
                  </m:r>
                  <m:r>
                    <m:t>c</m:t>
                  </m:r>
                  <m:r>
                    <m:t>e</m:t>
                  </m:r>
                  <m:r>
                    <m:t>s</m:t>
                  </m:r>
                  <m:r>
                    <m:t>s</m:t>
                  </m:r>
                  <m:r>
                    <m:rPr>
                      <m:sty m:val="p"/>
                    </m:rPr>
                    <m:t>,</m:t>
                  </m:r>
                  <m:r>
                    <m:t>t</m:t>
                  </m:r>
                  <m:r>
                    <m:t>o</m:t>
                  </m:r>
                  <m:r>
                    <m:t>t</m:t>
                  </m:r>
                  <m:r>
                    <m:t>a</m:t>
                  </m:r>
                  <m:r>
                    <m:t>l</m:t>
                  </m:r>
                </m:sub>
              </m:sSub>
            </m:oMath>
          </w:p>
        </w:tc>
        <w:tc>
          <w:tcPr/>
          <w:p>
            <w:pPr>
              <w:pStyle w:val="Compact"/>
            </w:pPr>
            <w:r>
              <w:t xml:space="preserve">Total process mass during acquisition</w:t>
            </w:r>
          </w:p>
        </w:tc>
        <w:tc>
          <w:tcPr/>
          <w:p>
            <w:pPr>
              <w:pStyle w:val="Compact"/>
            </w:pPr>
            <w:r>
              <w:t xml:space="preserve">Mass crossing full pipe section during one spectrum</w:t>
            </w:r>
          </w:p>
        </w:tc>
        <w:tc>
          <w:tcPr/>
          <w:p>
            <w:pPr>
              <w:pStyle w:val="Compact"/>
            </w:pPr>
            <w:r>
              <w:t xml:space="preserve">g</w:t>
            </w:r>
          </w:p>
        </w:tc>
      </w:tr>
    </w:tbl>
    <w:bookmarkEnd w:id="41"/>
    <w:bookmarkStart w:id="48" w:name="X284f183846e1fbb41f705055547f2f4633dedb0"/>
    <w:p>
      <w:pPr>
        <w:pStyle w:val="Heading2"/>
      </w:pPr>
      <w:r>
        <w:t xml:space="preserve">Renewal-Based ESS Versus Subscan Multiplication</w:t>
      </w:r>
    </w:p>
    <w:bookmarkStart w:id="42" w:name="X6a643f35c5a4d2a115169e1629ac2fa830b3ebc"/>
    <w:p>
      <w:pPr>
        <w:pStyle w:val="Heading3"/>
      </w:pPr>
      <w:r>
        <w:t xml:space="preserve">Question: Is effective sample size just static optical mass times number of subscans?</w:t>
      </w:r>
    </w:p>
    <w:p>
      <w:pPr>
        <w:pStyle w:val="FirstParagraph"/>
      </w:pPr>
      <w:r>
        <w:t xml:space="preserve">For a 1.8 s NIR spectrum built from 150 subscans at 12 ms each, a tempting shortcut is:</w:t>
      </w:r>
    </w:p>
    <w:p>
      <w:pPr>
        <w:pStyle w:val="BodyText"/>
      </w:pPr>
      <m:oMathPara>
        <m:oMathParaPr>
          <m:jc m:val="center"/>
        </m:oMathParaPr>
        <m:oMath>
          <m:sSub>
            <m:e>
              <m:r>
                <m:t>m</m:t>
              </m:r>
            </m:e>
            <m:sub>
              <m:r>
                <m:t>E</m:t>
              </m:r>
              <m:r>
                <m:t>S</m:t>
              </m:r>
              <m:r>
                <m:t>S</m:t>
              </m:r>
              <m:r>
                <m:rPr>
                  <m:sty m:val="p"/>
                </m:rPr>
                <m:t>,</m:t>
              </m:r>
              <m:r>
                <m:t>n</m:t>
              </m:r>
              <m:r>
                <m:t>a</m:t>
              </m:r>
              <m:r>
                <m:t>i</m:t>
              </m:r>
              <m:r>
                <m:t>v</m:t>
              </m:r>
              <m:r>
                <m:t>e</m:t>
              </m:r>
            </m:sub>
          </m:sSub>
          <m:r>
            <m:rPr>
              <m:sty m:val="p"/>
            </m:rPr>
            <m:t>=</m:t>
          </m:r>
          <m:sSub>
            <m:e>
              <m:r>
                <m:t>m</m:t>
              </m:r>
            </m:e>
            <m:sub>
              <m:r>
                <m:t>s</m:t>
              </m:r>
              <m:r>
                <m:t>t</m:t>
              </m:r>
              <m:r>
                <m:t>a</m:t>
              </m:r>
              <m:r>
                <m:t>t</m:t>
              </m:r>
              <m:r>
                <m:t>i</m:t>
              </m:r>
              <m:r>
                <m:t>c</m:t>
              </m:r>
            </m:sub>
          </m:sSub>
          <m:r>
            <m:t> </m:t>
          </m:r>
          <m:sSub>
            <m:e>
              <m:r>
                <m:t>N</m:t>
              </m:r>
            </m:e>
            <m:sub>
              <m:r>
                <m:t>s</m:t>
              </m:r>
              <m:r>
                <m:t>u</m:t>
              </m:r>
              <m:r>
                <m:t>b</m:t>
              </m:r>
              <m:r>
                <m:t>s</m:t>
              </m:r>
              <m:r>
                <m:t>c</m:t>
              </m:r>
              <m:r>
                <m:t>a</m:t>
              </m:r>
              <m:r>
                <m:t>n</m:t>
              </m:r>
            </m:sub>
          </m:sSub>
        </m:oMath>
      </m:oMathPara>
    </w:p>
    <w:p>
      <w:pPr>
        <w:pStyle w:val="FirstParagraph"/>
      </w:pPr>
      <w:r>
        <w:t xml:space="preserve">If a static optical mass is assumed to be 12 mg, this gives:</w:t>
      </w:r>
    </w:p>
    <w:p>
      <w:pPr>
        <w:pStyle w:val="BodyText"/>
      </w:pPr>
      <m:oMathPara>
        <m:oMathParaPr>
          <m:jc m:val="center"/>
        </m:oMathParaPr>
        <m:oMath>
          <m:r>
            <m:t>12</m:t>
          </m:r>
          <m:r>
            <m:t> </m:t>
          </m:r>
          <m:r>
            <m:rPr>
              <m:sty m:val="p"/>
            </m:rPr>
            <m:t>m</m:t>
          </m:r>
          <m:r>
            <m:rPr>
              <m:sty m:val="p"/>
            </m:rPr>
            <m:t>g</m:t>
          </m:r>
          <m:r>
            <m:rPr>
              <m:sty m:val="p"/>
            </m:rPr>
            <m:t>×</m:t>
          </m:r>
          <m:r>
            <m:t>150</m:t>
          </m:r>
          <m:r>
            <m:rPr>
              <m:sty m:val="p"/>
            </m:rPr>
            <m:t>=</m:t>
          </m:r>
          <m:r>
            <m:t>1800</m:t>
          </m:r>
          <m:r>
            <m:t> </m:t>
          </m:r>
          <m:r>
            <m:rPr>
              <m:sty m:val="p"/>
            </m:rPr>
            <m:t>m</m:t>
          </m:r>
          <m:r>
            <m:rPr>
              <m:sty m:val="p"/>
            </m:rPr>
            <m:t>g</m:t>
          </m:r>
        </m:oMath>
      </m:oMathPara>
    </w:p>
    <w:p>
      <w:pPr>
        <w:pStyle w:val="FirstParagraph"/>
      </w:pPr>
      <w:r>
        <w:t xml:space="preserve">This is a detector-counting calculation, not a powder-renewal calculation. It assumes that each electronic subscan sees a fresh, non-overlapping powder volume. That assumption is not supported by the Setup D velocity framework.</w:t>
      </w:r>
    </w:p>
    <w:bookmarkEnd w:id="42"/>
    <w:bookmarkStart w:id="43" w:name="developed-model-used-in-this-notebook"/>
    <w:p>
      <w:pPr>
        <w:pStyle w:val="Heading3"/>
      </w:pPr>
      <w:r>
        <w:t xml:space="preserve">Developed model used in this notebook</w:t>
      </w:r>
    </w:p>
    <w:p>
      <w:pPr>
        <w:pStyle w:val="FirstParagraph"/>
      </w:pPr>
      <w:r>
        <w:t xml:space="preserve">The holdup-adjusted model separates three quantities that the naive shortcut collapses into one number:</w:t>
      </w:r>
    </w:p>
    <w:p>
      <w:pPr>
        <w:pStyle w:val="Compact"/>
        <w:numPr>
          <w:ilvl w:val="0"/>
          <w:numId w:val="1010"/>
        </w:numPr>
      </w:pPr>
      <w:r>
        <w:t xml:space="preserve">instantaneous optical mass at the NIR window</w:t>
      </w:r>
    </w:p>
    <w:p>
      <w:pPr>
        <w:pStyle w:val="Compact"/>
        <w:numPr>
          <w:ilvl w:val="0"/>
          <w:numId w:val="1010"/>
        </w:numPr>
      </w:pPr>
      <w:r>
        <w:t xml:space="preserve">powder velocity at the probe estimated from mass balance and apparent holdup</w:t>
      </w:r>
    </w:p>
    <w:p>
      <w:pPr>
        <w:pStyle w:val="Compact"/>
        <w:numPr>
          <w:ilvl w:val="0"/>
          <w:numId w:val="1010"/>
        </w:numPr>
      </w:pPr>
      <w:r>
        <w:t xml:space="preserve">renewal count during the 1.8 s acquisition</w:t>
      </w:r>
    </w:p>
    <w:p>
      <w:pPr>
        <w:pStyle w:val="FirstParagraph"/>
      </w:pPr>
      <w:r>
        <w:t xml:space="preserve">The model estimate is:</w:t>
      </w:r>
    </w:p>
    <w:p>
      <w:pPr>
        <w:pStyle w:val="BodyText"/>
      </w:pPr>
      <m:oMathPara>
        <m:oMathParaPr>
          <m:jc m:val="center"/>
        </m:oMathParaPr>
        <m:oMath>
          <m:sSub>
            <m:e>
              <m:r>
                <m:t>m</m:t>
              </m:r>
            </m:e>
            <m:sub>
              <m:r>
                <m:t>E</m:t>
              </m:r>
              <m:r>
                <m:t>S</m:t>
              </m:r>
              <m:r>
                <m:t>S</m:t>
              </m:r>
              <m:r>
                <m:rPr>
                  <m:sty m:val="p"/>
                </m:rPr>
                <m:t>,</m:t>
              </m:r>
              <m:r>
                <m:t>p</m:t>
              </m:r>
              <m:r>
                <m:t>r</m:t>
              </m:r>
              <m:r>
                <m:t>o</m:t>
              </m:r>
              <m:r>
                <m:t>x</m:t>
              </m:r>
              <m:r>
                <m:t>y</m:t>
              </m:r>
            </m:sub>
          </m:sSub>
          <m:r>
            <m:rPr>
              <m:sty m:val="p"/>
            </m:rPr>
            <m:t>=</m:t>
          </m:r>
          <m:sSub>
            <m:e>
              <m:r>
                <m:t>m</m:t>
              </m:r>
            </m:e>
            <m:sub>
              <m:r>
                <m:t>i</m:t>
              </m:r>
              <m:r>
                <m:t>n</m:t>
              </m:r>
              <m:r>
                <m:t>s</m:t>
              </m:r>
              <m:r>
                <m:t>t</m:t>
              </m:r>
            </m:sub>
          </m:sSub>
          <m:r>
            <m:t> </m:t>
          </m:r>
          <m:sSub>
            <m:e>
              <m:r>
                <m:t>N</m:t>
              </m:r>
            </m:e>
            <m:sub>
              <m:r>
                <m:t>r</m:t>
              </m:r>
              <m:r>
                <m:t>e</m:t>
              </m:r>
              <m:r>
                <m:t>f</m:t>
              </m:r>
              <m:r>
                <m:t>r</m:t>
              </m:r>
              <m:r>
                <m:t>e</m:t>
              </m:r>
              <m:r>
                <m:t>s</m:t>
              </m:r>
              <m:r>
                <m:t>h</m:t>
              </m:r>
            </m:sub>
          </m:sSub>
        </m:oMath>
      </m:oMathPara>
    </w:p>
    <w:p>
      <w:pPr>
        <w:pStyle w:val="FirstParagraph"/>
      </w:pPr>
      <w:r>
        <w:t xml:space="preserve">with:</w:t>
      </w:r>
    </w:p>
    <w:p>
      <w:pPr>
        <w:pStyle w:val="BodyText"/>
      </w:pPr>
      <m:oMathPara>
        <m:oMathParaPr>
          <m:jc m:val="center"/>
        </m:oMathParaPr>
        <m:oMath>
          <m:sSub>
            <m:e>
              <m:r>
                <m:t>N</m:t>
              </m:r>
            </m:e>
            <m:sub>
              <m:r>
                <m:t>r</m:t>
              </m:r>
              <m:r>
                <m:t>e</m:t>
              </m:r>
              <m:r>
                <m:t>f</m:t>
              </m:r>
              <m:r>
                <m:t>r</m:t>
              </m:r>
              <m:r>
                <m:t>e</m:t>
              </m:r>
              <m:r>
                <m:t>s</m:t>
              </m:r>
              <m:r>
                <m:t>h</m:t>
              </m:r>
            </m:sub>
          </m:sSub>
          <m:r>
            <m:rPr>
              <m:sty m:val="p"/>
            </m:rPr>
            <m:t>=</m:t>
          </m:r>
          <m:f>
            <m:fPr>
              <m:type m:val="bar"/>
            </m:fPr>
            <m:num>
              <m:sSub>
                <m:e>
                  <m:r>
                    <m:t>v</m:t>
                  </m:r>
                </m:e>
                <m:sub>
                  <m:r>
                    <m:t>p</m:t>
                  </m:r>
                  <m:r>
                    <m:t>r</m:t>
                  </m:r>
                  <m:r>
                    <m:t>o</m:t>
                  </m:r>
                  <m:r>
                    <m:t>b</m:t>
                  </m:r>
                  <m:r>
                    <m:t>e</m:t>
                  </m:r>
                </m:sub>
              </m:sSub>
              <m:r>
                <m:t> </m:t>
              </m:r>
              <m:sSub>
                <m:e>
                  <m:r>
                    <m:t>t</m:t>
                  </m:r>
                </m:e>
                <m:sub>
                  <m:r>
                    <m:t>a</m:t>
                  </m:r>
                  <m:r>
                    <m:t>c</m:t>
                  </m:r>
                  <m:r>
                    <m:t>q</m:t>
                  </m:r>
                </m:sub>
              </m:sSub>
              <m:r>
                <m:t> </m:t>
              </m:r>
              <m:sSub>
                <m:e>
                  <m:r>
                    <m:t>C</m:t>
                  </m:r>
                </m:e>
                <m:sub>
                  <m:r>
                    <m:t>w</m:t>
                  </m:r>
                  <m:r>
                    <m:t>i</m:t>
                  </m:r>
                  <m:r>
                    <m:t>n</m:t>
                  </m:r>
                  <m:r>
                    <m:t>d</m:t>
                  </m:r>
                  <m:r>
                    <m:t>o</m:t>
                  </m:r>
                  <m:r>
                    <m:t>w</m:t>
                  </m:r>
                </m:sub>
              </m:sSub>
            </m:num>
            <m:den>
              <m:sSub>
                <m:e>
                  <m:r>
                    <m:t>d</m:t>
                  </m:r>
                </m:e>
                <m:sub>
                  <m:r>
                    <m:t>p</m:t>
                  </m:r>
                  <m:r>
                    <m:t>r</m:t>
                  </m:r>
                  <m:r>
                    <m:t>o</m:t>
                  </m:r>
                  <m:r>
                    <m:t>b</m:t>
                  </m:r>
                  <m:r>
                    <m:t>e</m:t>
                  </m:r>
                </m:sub>
              </m:sSub>
            </m:den>
          </m:f>
        </m:oMath>
      </m:oMathPara>
    </w:p>
    <w:p>
      <w:pPr>
        <w:pStyle w:val="FirstParagraph"/>
      </w:pPr>
      <w:r>
        <w:t xml:space="preserve">and:</w:t>
      </w:r>
    </w:p>
    <w:p>
      <w:pPr>
        <w:pStyle w:val="BodyText"/>
      </w:pPr>
      <m:oMathPara>
        <m:oMathParaPr>
          <m:jc m:val="center"/>
        </m:oMathParaPr>
        <m:oMath>
          <m:sSub>
            <m:e>
              <m:r>
                <m:t>v</m:t>
              </m:r>
            </m:e>
            <m:sub>
              <m:r>
                <m:t>p</m:t>
              </m:r>
              <m:r>
                <m:t>r</m:t>
              </m:r>
              <m:r>
                <m:t>o</m:t>
              </m:r>
              <m:r>
                <m:t>b</m:t>
              </m:r>
              <m:r>
                <m:t>e</m:t>
              </m:r>
            </m:sub>
          </m:sSub>
          <m:r>
            <m:rPr>
              <m:sty m:val="p"/>
            </m:rPr>
            <m:t>=</m:t>
          </m:r>
          <m:sSub>
            <m:e>
              <m:r>
                <m:t>k</m:t>
              </m:r>
            </m:e>
            <m:sub>
              <m:r>
                <m:t>w</m:t>
              </m:r>
              <m:r>
                <m:t>a</m:t>
              </m:r>
              <m:r>
                <m:t>l</m:t>
              </m:r>
              <m:r>
                <m:t>l</m:t>
              </m:r>
            </m:sub>
          </m:sSub>
          <m:r>
            <m:t> </m:t>
          </m:r>
          <m:f>
            <m:fPr>
              <m:type m:val="bar"/>
            </m:fPr>
            <m:num>
              <m:sSub>
                <m:e>
                  <m:r>
                    <m:t>v</m:t>
                  </m:r>
                </m:e>
                <m:sub>
                  <m:r>
                    <m:t>s</m:t>
                  </m:r>
                  <m:r>
                    <m:t>u</m:t>
                  </m:r>
                  <m:r>
                    <m:t>p</m:t>
                  </m:r>
                </m:sub>
              </m:sSub>
            </m:num>
            <m:den>
              <m:sSub>
                <m:e>
                  <m:r>
                    <m:t>ϕ</m:t>
                  </m:r>
                </m:e>
                <m:sub>
                  <m:r>
                    <m:t>A</m:t>
                  </m:r>
                </m:sub>
              </m:sSub>
            </m:den>
          </m:f>
        </m:oMath>
      </m:oMathPara>
    </w:p>
    <w:p>
      <w:pPr>
        <w:pStyle w:val="FirstParagraph"/>
      </w:pPr>
      <w:r>
        <w:t xml:space="preserve">Thus the multiplier is not the number of electronic subscans. The multiplier is the number of probe-diameter-scale powder renewals, and that multiplier depends directly on apparent holdup fraction, wall velocity factor, and window coverage.</w:t>
      </w:r>
    </w:p>
    <w:bookmarkEnd w:id="43"/>
    <w:bookmarkStart w:id="44" w:name="baseline-comparison"/>
    <w:p>
      <w:pPr>
        <w:pStyle w:val="Heading3"/>
      </w:pPr>
      <w:r>
        <w:t xml:space="preserve">Baseline comparison</w:t>
      </w:r>
    </w:p>
    <w:p>
      <w:pPr>
        <w:pStyle w:val="FirstParagraph"/>
      </w:pPr>
      <w:r>
        <w:t xml:space="preserve">For the baseline case in this notebook:</w:t>
      </w:r>
    </w:p>
    <w:p>
      <w:pPr>
        <w:pStyle w:val="Compact"/>
        <w:numPr>
          <w:ilvl w:val="0"/>
          <w:numId w:val="1011"/>
        </w:numPr>
      </w:pPr>
      <w:r>
        <w:t xml:space="preserve">superficial velocity is about 1.99 cm/s</w:t>
      </w:r>
    </w:p>
    <w:p>
      <w:pPr>
        <w:pStyle w:val="Compact"/>
        <w:numPr>
          <w:ilvl w:val="0"/>
          <w:numId w:val="1011"/>
        </w:numPr>
      </w:pPr>
      <w:r>
        <w:t xml:space="preserve">nominal apparent holdup is 0.30</w:t>
      </w:r>
    </w:p>
    <w:p>
      <w:pPr>
        <w:pStyle w:val="Compact"/>
        <w:numPr>
          <w:ilvl w:val="0"/>
          <w:numId w:val="1011"/>
        </w:numPr>
      </w:pPr>
      <w:r>
        <w:t xml:space="preserve">estimated local probe velocity is about 6.63 cm/s</w:t>
      </w:r>
    </w:p>
    <w:p>
      <w:pPr>
        <w:pStyle w:val="Compact"/>
        <w:numPr>
          <w:ilvl w:val="0"/>
          <w:numId w:val="1011"/>
        </w:numPr>
      </w:pPr>
      <w:r>
        <w:t xml:space="preserve">powder advances about 0.80 mm during one 12 ms subscan</w:t>
      </w:r>
    </w:p>
    <w:p>
      <w:pPr>
        <w:pStyle w:val="Compact"/>
        <w:numPr>
          <w:ilvl w:val="0"/>
          <w:numId w:val="1011"/>
        </w:numPr>
      </w:pPr>
      <w:r>
        <w:t xml:space="preserve">one probe diameter is 5 mm</w:t>
      </w:r>
    </w:p>
    <w:p>
      <w:pPr>
        <w:pStyle w:val="FirstParagraph"/>
      </w:pPr>
      <w:r>
        <w:t xml:space="preserve">So one subscan advances the powder by only about 16% of a probe diameter. Consecutive subscans therefore overlap strongly in space and cannot be counted as 150 independent static samples.</w:t>
      </w:r>
    </w:p>
    <w:p>
      <w:pPr>
        <w:pStyle w:val="BodyText"/>
      </w:pPr>
      <w:r>
        <w:t xml:space="preserve">The notebook’s geometric optical-mass model gives:</w:t>
      </w:r>
    </w:p>
    <w:p>
      <w:pPr>
        <w:pStyle w:val="BodyText"/>
      </w:pPr>
      <m:oMathPara>
        <m:oMathParaPr>
          <m:jc m:val="center"/>
        </m:oMathParaPr>
        <m:oMath>
          <m:sSub>
            <m:e>
              <m:r>
                <m:t>m</m:t>
              </m:r>
            </m:e>
            <m:sub>
              <m:r>
                <m:t>i</m:t>
              </m:r>
              <m:r>
                <m:t>n</m:t>
              </m:r>
              <m:r>
                <m:t>s</m:t>
              </m:r>
              <m:r>
                <m:t>t</m:t>
              </m:r>
            </m:sub>
          </m:sSub>
          <m:r>
            <m:rPr>
              <m:sty m:val="p"/>
            </m:rPr>
            <m:t>=</m:t>
          </m:r>
          <m:sSub>
            <m:e>
              <m:r>
                <m:t>ρ</m:t>
              </m:r>
            </m:e>
            <m:sub>
              <m:r>
                <m:t>o</m:t>
              </m:r>
              <m:r>
                <m:t>p</m:t>
              </m:r>
              <m:r>
                <m:t>t</m:t>
              </m:r>
            </m:sub>
          </m:sSub>
          <m:r>
            <m:t> </m:t>
          </m:r>
          <m:sSub>
            <m:e>
              <m:r>
                <m:t>A</m:t>
              </m:r>
            </m:e>
            <m:sub>
              <m:r>
                <m:t>p</m:t>
              </m:r>
              <m:r>
                <m:t>r</m:t>
              </m:r>
              <m:r>
                <m:t>o</m:t>
              </m:r>
              <m:r>
                <m:t>b</m:t>
              </m:r>
              <m:r>
                <m:t>e</m:t>
              </m:r>
            </m:sub>
          </m:sSub>
          <m:r>
            <m:t> </m:t>
          </m:r>
          <m:sSub>
            <m:e>
              <m:r>
                <m:t>d</m:t>
              </m:r>
            </m:e>
            <m:sub>
              <m:r>
                <m:t>p</m:t>
              </m:r>
              <m:r>
                <m:t>e</m:t>
              </m:r>
              <m:r>
                <m:t>n</m:t>
              </m:r>
            </m:sub>
          </m:sSub>
          <m:r>
            <m:rPr>
              <m:sty m:val="p"/>
            </m:rPr>
            <m:t>≈</m:t>
          </m:r>
          <m:r>
            <m:t>7.85</m:t>
          </m:r>
          <m:r>
            <m:t> </m:t>
          </m:r>
          <m:r>
            <m:rPr>
              <m:sty m:val="p"/>
            </m:rPr>
            <m:t>m</m:t>
          </m:r>
          <m:r>
            <m:rPr>
              <m:sty m:val="p"/>
            </m:rPr>
            <m:t>g</m:t>
          </m:r>
        </m:oMath>
      </m:oMathPara>
    </w:p>
    <w:p>
      <w:pPr>
        <w:pStyle w:val="FirstParagraph"/>
      </w:pPr>
      <w:r>
        <w:t xml:space="preserve">The nominal holdup-adjusted renewal count is:</w:t>
      </w:r>
    </w:p>
    <w:p>
      <w:pPr>
        <w:pStyle w:val="BodyText"/>
      </w:pPr>
      <m:oMathPara>
        <m:oMathParaPr>
          <m:jc m:val="center"/>
        </m:oMathParaPr>
        <m:oMath>
          <m:sSub>
            <m:e>
              <m:r>
                <m:t>N</m:t>
              </m:r>
            </m:e>
            <m:sub>
              <m:r>
                <m:t>r</m:t>
              </m:r>
              <m:r>
                <m:t>e</m:t>
              </m:r>
              <m:r>
                <m:t>f</m:t>
              </m:r>
              <m:r>
                <m:t>r</m:t>
              </m:r>
              <m:r>
                <m:t>e</m:t>
              </m:r>
              <m:r>
                <m:t>s</m:t>
              </m:r>
              <m:r>
                <m:t>h</m:t>
              </m:r>
            </m:sub>
          </m:sSub>
          <m:r>
            <m:rPr>
              <m:sty m:val="p"/>
            </m:rPr>
            <m:t>≈</m:t>
          </m:r>
          <m:r>
            <m:t>23.9</m:t>
          </m:r>
        </m:oMath>
      </m:oMathPara>
    </w:p>
    <w:p>
      <w:pPr>
        <w:pStyle w:val="FirstParagraph"/>
      </w:pPr>
      <w:r>
        <w:t xml:space="preserve">Therefore:</w:t>
      </w:r>
    </w:p>
    <w:p>
      <w:pPr>
        <w:pStyle w:val="BodyText"/>
      </w:pPr>
      <m:oMathPara>
        <m:oMathParaPr>
          <m:jc m:val="center"/>
        </m:oMathParaPr>
        <m:oMath>
          <m:sSub>
            <m:e>
              <m:r>
                <m:t>m</m:t>
              </m:r>
            </m:e>
            <m:sub>
              <m:r>
                <m:t>E</m:t>
              </m:r>
              <m:r>
                <m:t>S</m:t>
              </m:r>
              <m:r>
                <m:t>S</m:t>
              </m:r>
              <m:r>
                <m:rPr>
                  <m:sty m:val="p"/>
                </m:rPr>
                <m:t>,</m:t>
              </m:r>
              <m:r>
                <m:t>p</m:t>
              </m:r>
              <m:r>
                <m:t>r</m:t>
              </m:r>
              <m:r>
                <m:t>o</m:t>
              </m:r>
              <m:r>
                <m:t>x</m:t>
              </m:r>
              <m:r>
                <m:t>y</m:t>
              </m:r>
            </m:sub>
          </m:sSub>
          <m:r>
            <m:rPr>
              <m:sty m:val="p"/>
            </m:rPr>
            <m:t>≈</m:t>
          </m:r>
          <m:r>
            <m:t>7.85</m:t>
          </m:r>
          <m:r>
            <m:t> </m:t>
          </m:r>
          <m:r>
            <m:rPr>
              <m:sty m:val="p"/>
            </m:rPr>
            <m:t>m</m:t>
          </m:r>
          <m:r>
            <m:rPr>
              <m:sty m:val="p"/>
            </m:rPr>
            <m:t>g</m:t>
          </m:r>
          <m:r>
            <m:rPr>
              <m:sty m:val="p"/>
            </m:rPr>
            <m:t>×</m:t>
          </m:r>
          <m:r>
            <m:t>23.9</m:t>
          </m:r>
          <m:r>
            <m:rPr>
              <m:sty m:val="p"/>
            </m:rPr>
            <m:t>≈</m:t>
          </m:r>
          <m:r>
            <m:t>187</m:t>
          </m:r>
          <m:r>
            <m:t> </m:t>
          </m:r>
          <m:r>
            <m:rPr>
              <m:sty m:val="p"/>
            </m:rPr>
            <m:t>m</m:t>
          </m:r>
          <m:r>
            <m:rPr>
              <m:sty m:val="p"/>
            </m:rPr>
            <m:t>g</m:t>
          </m:r>
        </m:oMath>
      </m:oMathPara>
    </w:p>
    <w:p>
      <w:pPr>
        <w:pStyle w:val="FirstParagraph"/>
      </w:pPr>
      <w:r>
        <w:t xml:space="preserve">If an external static-scan estimate of 12 mg is used as the instantaneous optical mass instead, the same developed renewal logic would give:</w:t>
      </w:r>
    </w:p>
    <w:p>
      <w:pPr>
        <w:pStyle w:val="BodyText"/>
      </w:pPr>
      <m:oMathPara>
        <m:oMathParaPr>
          <m:jc m:val="center"/>
        </m:oMathParaPr>
        <m:oMath>
          <m:r>
            <m:t>12</m:t>
          </m:r>
          <m:r>
            <m:t> </m:t>
          </m:r>
          <m:r>
            <m:rPr>
              <m:sty m:val="p"/>
            </m:rPr>
            <m:t>m</m:t>
          </m:r>
          <m:r>
            <m:rPr>
              <m:sty m:val="p"/>
            </m:rPr>
            <m:t>g</m:t>
          </m:r>
          <m:r>
            <m:rPr>
              <m:sty m:val="p"/>
            </m:rPr>
            <m:t>×</m:t>
          </m:r>
          <m:r>
            <m:t>23.9</m:t>
          </m:r>
          <m:r>
            <m:rPr>
              <m:sty m:val="p"/>
            </m:rPr>
            <m:t>≈</m:t>
          </m:r>
          <m:r>
            <m:t>286</m:t>
          </m:r>
          <m:r>
            <m:t> </m:t>
          </m:r>
          <m:r>
            <m:rPr>
              <m:sty m:val="p"/>
            </m:rPr>
            <m:t>m</m:t>
          </m:r>
          <m:r>
            <m:rPr>
              <m:sty m:val="p"/>
            </m:rPr>
            <m:t>g</m:t>
          </m:r>
        </m:oMath>
      </m:oMathPara>
    </w:p>
    <w:p>
      <w:pPr>
        <w:pStyle w:val="FirstParagraph"/>
      </w:pPr>
      <w:r>
        <w:t xml:space="preserve">not 1800 mg. The difference is the multiplier: the physically relevant multiplier is powder renewal, not detector subscan count.</w:t>
      </w:r>
    </w:p>
    <w:bookmarkEnd w:id="44"/>
    <w:bookmarkStart w:id="45" w:name="holdup-sensitivity-of-the-comparison"/>
    <w:p>
      <w:pPr>
        <w:pStyle w:val="Heading3"/>
      </w:pPr>
      <w:r>
        <w:t xml:space="preserve">Holdup sensitivity of the comparison</w:t>
      </w:r>
    </w:p>
    <w:p>
      <w:pPr>
        <w:pStyle w:val="FirstParagraph"/>
      </w:pPr>
      <w:r>
        <w:t xml:space="preserve">The naive 1800 mg estimate is independent of flow geometry. The developed model is not; it changes with apparent occupied fraction in the pipe.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t xml:space="preserve">Apparent holdup</w:t>
            </w:r>
            <w:r>
              <w:t xml:space="preserve"> </w:t>
            </w:r>
            <m:oMath>
              <m:sSub>
                <m:e>
                  <m:r>
                    <m:t>ϕ</m:t>
                  </m:r>
                </m:e>
                <m:sub>
                  <m:r>
                    <m:t>A</m:t>
                  </m:r>
                </m:sub>
              </m:sSub>
            </m:oMath>
          </w:p>
        </w:tc>
        <w:tc>
          <w:tcPr/>
          <w:p>
            <w:pPr>
              <w:pStyle w:val="Compact"/>
              <w:jc w:val="right"/>
            </w:pPr>
            <w:r>
              <w:t xml:space="preserve">Estimated</w:t>
            </w:r>
            <w:r>
              <w:t xml:space="preserve"> </w:t>
            </w:r>
            <m:oMath>
              <m:sSub>
                <m:e>
                  <m:r>
                    <m:t>v</m:t>
                  </m:r>
                </m:e>
                <m:sub>
                  <m:r>
                    <m:t>p</m:t>
                  </m:r>
                  <m:r>
                    <m:t>r</m:t>
                  </m:r>
                  <m:r>
                    <m:t>o</m:t>
                  </m:r>
                  <m:r>
                    <m:t>b</m:t>
                  </m:r>
                  <m:r>
                    <m:t>e</m:t>
                  </m:r>
                </m:sub>
              </m:sSub>
            </m:oMath>
            <w:r>
              <w:t xml:space="preserve"> </w:t>
            </w:r>
            <w:r>
              <w:t xml:space="preserve">(cm/s)</w:t>
            </w:r>
          </w:p>
        </w:tc>
        <w:tc>
          <w:tcPr/>
          <w:p>
            <w:pPr>
              <w:pStyle w:val="Compact"/>
              <w:jc w:val="right"/>
            </w:pPr>
            <w:r>
              <w:t xml:space="preserve">Powder advance per subscan (mm)</w:t>
            </w:r>
          </w:p>
        </w:tc>
        <w:tc>
          <w:tcPr/>
          <w:p>
            <w:pPr>
              <w:pStyle w:val="Compact"/>
              <w:jc w:val="right"/>
            </w:pPr>
            <w:r>
              <w:t xml:space="preserve">Renewal factor</w:t>
            </w:r>
          </w:p>
        </w:tc>
        <w:tc>
          <w:tcPr/>
          <w:p>
            <w:pPr>
              <w:pStyle w:val="Compact"/>
              <w:jc w:val="right"/>
            </w:pPr>
            <w:r>
              <w:t xml:space="preserve">ESS proxy using notebook</w:t>
            </w:r>
            <w:r>
              <w:t xml:space="preserve"> </w:t>
            </w:r>
            <m:oMath>
              <m:sSub>
                <m:e>
                  <m:r>
                    <m:t>m</m:t>
                  </m:r>
                </m:e>
                <m:sub>
                  <m:r>
                    <m:t>i</m:t>
                  </m:r>
                  <m:r>
                    <m:t>n</m:t>
                  </m:r>
                  <m:r>
                    <m:t>s</m:t>
                  </m:r>
                  <m:r>
                    <m:t>t</m:t>
                  </m:r>
                </m:sub>
              </m:sSub>
            </m:oMath>
            <w:r>
              <w:t xml:space="preserve"> </w:t>
            </w:r>
            <w:r>
              <w:t xml:space="preserve">(mg)</w:t>
            </w:r>
          </w:p>
        </w:tc>
        <w:tc>
          <w:tcPr/>
          <w:p>
            <w:pPr>
              <w:pStyle w:val="Compact"/>
              <w:jc w:val="right"/>
            </w:pPr>
            <w:r>
              <w:t xml:space="preserve">Naive 1800 mg / model</w:t>
            </w:r>
          </w:p>
        </w:tc>
      </w:tr>
      <w:tr>
        <w:tc>
          <w:tcPr/>
          <w:p>
            <w:pPr>
              <w:pStyle w:val="Compact"/>
              <w:jc w:val="right"/>
            </w:pPr>
            <w:r>
              <w:t xml:space="preserve">1.00</w:t>
            </w:r>
          </w:p>
        </w:tc>
        <w:tc>
          <w:tcPr/>
          <w:p>
            <w:pPr>
              <w:pStyle w:val="Compact"/>
              <w:jc w:val="right"/>
            </w:pPr>
            <w:r>
              <w:t xml:space="preserve">1.99</w:t>
            </w:r>
          </w:p>
        </w:tc>
        <w:tc>
          <w:tcPr/>
          <w:p>
            <w:pPr>
              <w:pStyle w:val="Compact"/>
              <w:jc w:val="right"/>
            </w:pPr>
            <w:r>
              <w:t xml:space="preserve">0.24</w:t>
            </w:r>
          </w:p>
        </w:tc>
        <w:tc>
          <w:tcPr/>
          <w:p>
            <w:pPr>
              <w:pStyle w:val="Compact"/>
              <w:jc w:val="right"/>
            </w:pPr>
            <w:r>
              <w:t xml:space="preserve">7.16</w:t>
            </w:r>
          </w:p>
        </w:tc>
        <w:tc>
          <w:tcPr/>
          <w:p>
            <w:pPr>
              <w:pStyle w:val="Compact"/>
              <w:jc w:val="right"/>
            </w:pPr>
            <w:r>
              <w:t xml:space="preserve">56</w:t>
            </w:r>
          </w:p>
        </w:tc>
        <w:tc>
          <w:tcPr/>
          <w:p>
            <w:pPr>
              <w:pStyle w:val="Compact"/>
              <w:jc w:val="right"/>
            </w:pPr>
            <w:r>
              <w:t xml:space="preserve">32.0x</w:t>
            </w:r>
          </w:p>
        </w:tc>
      </w:tr>
      <w:tr>
        <w:tc>
          <w:tcPr/>
          <w:p>
            <w:pPr>
              <w:pStyle w:val="Compact"/>
              <w:jc w:val="right"/>
            </w:pPr>
            <w:r>
              <w:t xml:space="preserve">0.60</w:t>
            </w:r>
          </w:p>
        </w:tc>
        <w:tc>
          <w:tcPr/>
          <w:p>
            <w:pPr>
              <w:pStyle w:val="Compact"/>
              <w:jc w:val="right"/>
            </w:pPr>
            <w:r>
              <w:t xml:space="preserve">3.31</w:t>
            </w:r>
          </w:p>
        </w:tc>
        <w:tc>
          <w:tcPr/>
          <w:p>
            <w:pPr>
              <w:pStyle w:val="Compact"/>
              <w:jc w:val="right"/>
            </w:pPr>
            <w:r>
              <w:t xml:space="preserve">0.40</w:t>
            </w:r>
          </w:p>
        </w:tc>
        <w:tc>
          <w:tcPr/>
          <w:p>
            <w:pPr>
              <w:pStyle w:val="Compact"/>
              <w:jc w:val="right"/>
            </w:pPr>
            <w:r>
              <w:t xml:space="preserve">11.93</w:t>
            </w:r>
          </w:p>
        </w:tc>
        <w:tc>
          <w:tcPr/>
          <w:p>
            <w:pPr>
              <w:pStyle w:val="Compact"/>
              <w:jc w:val="right"/>
            </w:pPr>
            <w:r>
              <w:t xml:space="preserve">94</w:t>
            </w:r>
          </w:p>
        </w:tc>
        <w:tc>
          <w:tcPr/>
          <w:p>
            <w:pPr>
              <w:pStyle w:val="Compact"/>
              <w:jc w:val="right"/>
            </w:pPr>
            <w:r>
              <w:t xml:space="preserve">19.2x</w:t>
            </w:r>
          </w:p>
        </w:tc>
      </w:tr>
      <w:tr>
        <w:tc>
          <w:tcPr/>
          <w:p>
            <w:pPr>
              <w:pStyle w:val="Compact"/>
              <w:jc w:val="right"/>
            </w:pPr>
            <w:r>
              <w:t xml:space="preserve">0.30</w:t>
            </w:r>
          </w:p>
        </w:tc>
        <w:tc>
          <w:tcPr/>
          <w:p>
            <w:pPr>
              <w:pStyle w:val="Compact"/>
              <w:jc w:val="right"/>
            </w:pPr>
            <w:r>
              <w:t xml:space="preserve">6.63</w:t>
            </w:r>
          </w:p>
        </w:tc>
        <w:tc>
          <w:tcPr/>
          <w:p>
            <w:pPr>
              <w:pStyle w:val="Compact"/>
              <w:jc w:val="right"/>
            </w:pPr>
            <w:r>
              <w:t xml:space="preserve">0.80</w:t>
            </w:r>
          </w:p>
        </w:tc>
        <w:tc>
          <w:tcPr/>
          <w:p>
            <w:pPr>
              <w:pStyle w:val="Compact"/>
              <w:jc w:val="right"/>
            </w:pPr>
            <w:r>
              <w:t xml:space="preserve">23.86</w:t>
            </w:r>
          </w:p>
        </w:tc>
        <w:tc>
          <w:tcPr/>
          <w:p>
            <w:pPr>
              <w:pStyle w:val="Compact"/>
              <w:jc w:val="right"/>
            </w:pPr>
            <w:r>
              <w:t xml:space="preserve">187</w:t>
            </w:r>
          </w:p>
        </w:tc>
        <w:tc>
          <w:tcPr/>
          <w:p>
            <w:pPr>
              <w:pStyle w:val="Compact"/>
              <w:jc w:val="right"/>
            </w:pPr>
            <w:r>
              <w:t xml:space="preserve">9.6x</w:t>
            </w:r>
          </w:p>
        </w:tc>
      </w:tr>
      <w:tr>
        <w:tc>
          <w:tcPr/>
          <w:p>
            <w:pPr>
              <w:pStyle w:val="Compact"/>
              <w:jc w:val="right"/>
            </w:pPr>
            <w:r>
              <w:t xml:space="preserve">0.15</w:t>
            </w:r>
          </w:p>
        </w:tc>
        <w:tc>
          <w:tcPr/>
          <w:p>
            <w:pPr>
              <w:pStyle w:val="Compact"/>
              <w:jc w:val="right"/>
            </w:pPr>
            <w:r>
              <w:t xml:space="preserve">13.25</w:t>
            </w:r>
          </w:p>
        </w:tc>
        <w:tc>
          <w:tcPr/>
          <w:p>
            <w:pPr>
              <w:pStyle w:val="Compact"/>
              <w:jc w:val="right"/>
            </w:pPr>
            <w:r>
              <w:t xml:space="preserve">1.59</w:t>
            </w:r>
          </w:p>
        </w:tc>
        <w:tc>
          <w:tcPr/>
          <w:p>
            <w:pPr>
              <w:pStyle w:val="Compact"/>
              <w:jc w:val="right"/>
            </w:pPr>
            <w:r>
              <w:t xml:space="preserve">47.72</w:t>
            </w:r>
          </w:p>
        </w:tc>
        <w:tc>
          <w:tcPr/>
          <w:p>
            <w:pPr>
              <w:pStyle w:val="Compact"/>
              <w:jc w:val="right"/>
            </w:pPr>
            <w:r>
              <w:t xml:space="preserve">375</w:t>
            </w:r>
          </w:p>
        </w:tc>
        <w:tc>
          <w:tcPr/>
          <w:p>
            <w:pPr>
              <w:pStyle w:val="Compact"/>
              <w:jc w:val="right"/>
            </w:pPr>
            <w:r>
              <w:t xml:space="preserve">4.8x</w:t>
            </w:r>
          </w:p>
        </w:tc>
      </w:tr>
      <w:tr>
        <w:tc>
          <w:tcPr/>
          <w:p>
            <w:pPr>
              <w:pStyle w:val="Compact"/>
              <w:jc w:val="right"/>
            </w:pPr>
            <w:r>
              <w:t xml:space="preserve">0.10</w:t>
            </w:r>
          </w:p>
        </w:tc>
        <w:tc>
          <w:tcPr/>
          <w:p>
            <w:pPr>
              <w:pStyle w:val="Compact"/>
              <w:jc w:val="right"/>
            </w:pPr>
            <w:r>
              <w:t xml:space="preserve">19.88</w:t>
            </w:r>
          </w:p>
        </w:tc>
        <w:tc>
          <w:tcPr/>
          <w:p>
            <w:pPr>
              <w:pStyle w:val="Compact"/>
              <w:jc w:val="right"/>
            </w:pPr>
            <w:r>
              <w:t xml:space="preserve">2.39</w:t>
            </w:r>
          </w:p>
        </w:tc>
        <w:tc>
          <w:tcPr/>
          <w:p>
            <w:pPr>
              <w:pStyle w:val="Compact"/>
              <w:jc w:val="right"/>
            </w:pPr>
            <w:r>
              <w:t xml:space="preserve">71.57</w:t>
            </w:r>
          </w:p>
        </w:tc>
        <w:tc>
          <w:tcPr/>
          <w:p>
            <w:pPr>
              <w:pStyle w:val="Compact"/>
              <w:jc w:val="right"/>
            </w:pPr>
            <w:r>
              <w:t xml:space="preserve">562</w:t>
            </w:r>
          </w:p>
        </w:tc>
        <w:tc>
          <w:tcPr/>
          <w:p>
            <w:pPr>
              <w:pStyle w:val="Compact"/>
              <w:jc w:val="right"/>
            </w:pPr>
            <w:r>
              <w:t xml:space="preserve">3.2x</w:t>
            </w:r>
          </w:p>
        </w:tc>
      </w:tr>
      <w:tr>
        <w:tc>
          <w:tcPr/>
          <w:p>
            <w:pPr>
              <w:pStyle w:val="Compact"/>
              <w:jc w:val="right"/>
            </w:pPr>
            <w:r>
              <w:t xml:space="preserve">0.05</w:t>
            </w:r>
          </w:p>
        </w:tc>
        <w:tc>
          <w:tcPr/>
          <w:p>
            <w:pPr>
              <w:pStyle w:val="Compact"/>
              <w:jc w:val="right"/>
            </w:pPr>
            <w:r>
              <w:t xml:space="preserve">39.76</w:t>
            </w:r>
          </w:p>
        </w:tc>
        <w:tc>
          <w:tcPr/>
          <w:p>
            <w:pPr>
              <w:pStyle w:val="Compact"/>
              <w:jc w:val="right"/>
            </w:pPr>
            <w:r>
              <w:t xml:space="preserve">4.77</w:t>
            </w:r>
          </w:p>
        </w:tc>
        <w:tc>
          <w:tcPr/>
          <w:p>
            <w:pPr>
              <w:pStyle w:val="Compact"/>
              <w:jc w:val="right"/>
            </w:pPr>
            <w:r>
              <w:t xml:space="preserve">143.15</w:t>
            </w:r>
          </w:p>
        </w:tc>
        <w:tc>
          <w:tcPr/>
          <w:p>
            <w:pPr>
              <w:pStyle w:val="Compact"/>
              <w:jc w:val="right"/>
            </w:pPr>
            <w:r>
              <w:t xml:space="preserve">1124</w:t>
            </w:r>
          </w:p>
        </w:tc>
        <w:tc>
          <w:tcPr/>
          <w:p>
            <w:pPr>
              <w:pStyle w:val="Compact"/>
              <w:jc w:val="right"/>
            </w:pPr>
            <w:r>
              <w:t xml:space="preserve">1.6x</w:t>
            </w:r>
          </w:p>
        </w:tc>
      </w:tr>
    </w:tbl>
    <w:p>
      <w:pPr>
        <w:pStyle w:val="BodyText"/>
      </w:pPr>
      <w:r>
        <w:t xml:space="preserve">This table shows why the apparent holdup framework matters. Lower holdup means the same mass flow is carried through a smaller occupied region, so the estimated local velocity and renewal count increase. Even then, the naive 150-subscan multiplier is only approached near the extreme low-holdup end of the sensitivity range.</w:t>
      </w:r>
    </w:p>
    <w:bookmarkEnd w:id="45"/>
    <w:bookmarkStart w:id="46" w:name="X355b3713508da1ec807ae198e7c317fb262dd48"/>
    <w:p>
      <w:pPr>
        <w:pStyle w:val="Heading3"/>
      </w:pPr>
      <w:r>
        <w:t xml:space="preserve">What holdup would make the naive multiplier plausible?</w:t>
      </w:r>
    </w:p>
    <w:p>
      <w:pPr>
        <w:pStyle w:val="FirstParagraph"/>
      </w:pPr>
      <w:r>
        <w:t xml:space="preserve">For every 12 ms subscan to see a full new probe footprint, the probe-region velocity would need to be:</w:t>
      </w:r>
    </w:p>
    <w:p>
      <w:pPr>
        <w:pStyle w:val="BodyText"/>
      </w:pPr>
      <m:oMathPara>
        <m:oMathParaPr>
          <m:jc m:val="center"/>
        </m:oMathParaPr>
        <m:oMath>
          <m:sSub>
            <m:e>
              <m:r>
                <m:t>v</m:t>
              </m:r>
            </m:e>
            <m:sub>
              <m:r>
                <m:t>r</m:t>
              </m:r>
              <m:r>
                <m:t>e</m:t>
              </m:r>
              <m:r>
                <m:t>q</m:t>
              </m:r>
              <m:r>
                <m:t>u</m:t>
              </m:r>
              <m:r>
                <m:t>i</m:t>
              </m:r>
              <m:r>
                <m:t>r</m:t>
              </m:r>
              <m:r>
                <m:t>e</m:t>
              </m:r>
              <m:r>
                <m:t>d</m:t>
              </m:r>
            </m:sub>
          </m:sSub>
          <m:r>
            <m:rPr>
              <m:sty m:val="p"/>
            </m:rPr>
            <m:t>=</m:t>
          </m:r>
          <m:f>
            <m:fPr>
              <m:type m:val="bar"/>
            </m:fPr>
            <m:num>
              <m:sSub>
                <m:e>
                  <m:r>
                    <m:t>d</m:t>
                  </m:r>
                </m:e>
                <m:sub>
                  <m:r>
                    <m:t>p</m:t>
                  </m:r>
                  <m:r>
                    <m:t>r</m:t>
                  </m:r>
                  <m:r>
                    <m:t>o</m:t>
                  </m:r>
                  <m:r>
                    <m:t>b</m:t>
                  </m:r>
                  <m:r>
                    <m:t>e</m:t>
                  </m:r>
                </m:sub>
              </m:sSub>
            </m:num>
            <m:den>
              <m:sSub>
                <m:e>
                  <m:r>
                    <m:t>t</m:t>
                  </m:r>
                </m:e>
                <m:sub>
                  <m:r>
                    <m:t>s</m:t>
                  </m:r>
                  <m:r>
                    <m:t>u</m:t>
                  </m:r>
                  <m:r>
                    <m:t>b</m:t>
                  </m:r>
                  <m:r>
                    <m:t>s</m:t>
                  </m:r>
                  <m:r>
                    <m:t>c</m:t>
                  </m:r>
                  <m:r>
                    <m:t>a</m:t>
                  </m:r>
                  <m:r>
                    <m:t>n</m:t>
                  </m:r>
                </m:sub>
              </m:sSub>
            </m:den>
          </m:f>
          <m:r>
            <m:rPr>
              <m:sty m:val="p"/>
            </m:rPr>
            <m:t>=</m:t>
          </m:r>
          <m:f>
            <m:fPr>
              <m:type m:val="bar"/>
            </m:fPr>
            <m:num>
              <m:r>
                <m:t>0.5</m:t>
              </m:r>
              <m:r>
                <m:t> </m:t>
              </m:r>
              <m:r>
                <m:rPr>
                  <m:sty m:val="p"/>
                </m:rPr>
                <m:t>c</m:t>
              </m:r>
              <m:r>
                <m:rPr>
                  <m:sty m:val="p"/>
                </m:rPr>
                <m:t>m</m:t>
              </m:r>
            </m:num>
            <m:den>
              <m:r>
                <m:t>0.012</m:t>
              </m:r>
              <m:r>
                <m:t> </m:t>
              </m:r>
              <m:r>
                <m:rPr>
                  <m:sty m:val="p"/>
                </m:rPr>
                <m:t>s</m:t>
              </m:r>
            </m:den>
          </m:f>
          <m:r>
            <m:rPr>
              <m:sty m:val="p"/>
            </m:rPr>
            <m:t>=</m:t>
          </m:r>
          <m:r>
            <m:t>41.67</m:t>
          </m:r>
          <m:r>
            <m:t> </m:t>
          </m:r>
          <m:r>
            <m:rPr>
              <m:sty m:val="p"/>
            </m:rPr>
            <m:t>c</m:t>
          </m:r>
          <m:r>
            <m:rPr>
              <m:sty m:val="p"/>
            </m:rPr>
            <m:t>m</m:t>
          </m:r>
          <m:r>
            <m:rPr>
              <m:sty m:val="p"/>
            </m:rPr>
            <m:t>/</m:t>
          </m:r>
          <m:r>
            <m:rPr>
              <m:sty m:val="p"/>
            </m:rPr>
            <m:t>s</m:t>
          </m:r>
        </m:oMath>
      </m:oMathPara>
    </w:p>
    <w:p>
      <w:pPr>
        <w:pStyle w:val="FirstParagraph"/>
      </w:pPr>
      <w:r>
        <w:t xml:space="preserve">Using the baseline superficial velocity and</w:t>
      </w:r>
      <w:r>
        <w:t xml:space="preserve"> </w:t>
      </w:r>
      <m:oMath>
        <m:sSub>
          <m:e>
            <m:r>
              <m:t>k</m:t>
            </m:r>
          </m:e>
          <m:sub>
            <m:r>
              <m:t>w</m:t>
            </m:r>
            <m:r>
              <m:t>a</m:t>
            </m:r>
            <m:r>
              <m:t>l</m:t>
            </m:r>
            <m:r>
              <m:t>l</m:t>
            </m:r>
          </m:sub>
        </m:sSub>
        <m:r>
          <m:rPr>
            <m:sty m:val="p"/>
          </m:rPr>
          <m:t>=</m:t>
        </m:r>
        <m:r>
          <m:t>1</m:t>
        </m:r>
      </m:oMath>
      <w:r>
        <w:t xml:space="preserve">, this corresponds to:</w:t>
      </w:r>
    </w:p>
    <w:p>
      <w:pPr>
        <w:pStyle w:val="BodyText"/>
      </w:pPr>
      <m:oMathPara>
        <m:oMathParaPr>
          <m:jc m:val="center"/>
        </m:oMathParaPr>
        <m:oMath>
          <m:sSub>
            <m:e>
              <m:r>
                <m:t>ϕ</m:t>
              </m:r>
            </m:e>
            <m:sub>
              <m:r>
                <m:t>A</m:t>
              </m:r>
            </m:sub>
          </m:sSub>
          <m:r>
            <m:rPr>
              <m:sty m:val="p"/>
            </m:rPr>
            <m:t>≈</m:t>
          </m:r>
          <m:f>
            <m:fPr>
              <m:type m:val="bar"/>
            </m:fPr>
            <m:num>
              <m:sSub>
                <m:e>
                  <m:r>
                    <m:t>v</m:t>
                  </m:r>
                </m:e>
                <m:sub>
                  <m:r>
                    <m:t>s</m:t>
                  </m:r>
                  <m:r>
                    <m:t>u</m:t>
                  </m:r>
                  <m:r>
                    <m:t>p</m:t>
                  </m:r>
                </m:sub>
              </m:sSub>
            </m:num>
            <m:den>
              <m:sSub>
                <m:e>
                  <m:r>
                    <m:t>v</m:t>
                  </m:r>
                </m:e>
                <m:sub>
                  <m:r>
                    <m:t>r</m:t>
                  </m:r>
                  <m:r>
                    <m:t>e</m:t>
                  </m:r>
                  <m:r>
                    <m:t>q</m:t>
                  </m:r>
                  <m:r>
                    <m:t>u</m:t>
                  </m:r>
                  <m:r>
                    <m:t>i</m:t>
                  </m:r>
                  <m:r>
                    <m:t>r</m:t>
                  </m:r>
                  <m:r>
                    <m:t>e</m:t>
                  </m:r>
                  <m:r>
                    <m:t>d</m:t>
                  </m:r>
                </m:sub>
              </m:sSub>
            </m:den>
          </m:f>
          <m:r>
            <m:rPr>
              <m:sty m:val="p"/>
            </m:rPr>
            <m:t>≈</m:t>
          </m:r>
          <m:f>
            <m:fPr>
              <m:type m:val="bar"/>
            </m:fPr>
            <m:num>
              <m:r>
                <m:t>1.99</m:t>
              </m:r>
            </m:num>
            <m:den>
              <m:r>
                <m:t>41.67</m:t>
              </m:r>
            </m:den>
          </m:f>
          <m:r>
            <m:rPr>
              <m:sty m:val="p"/>
            </m:rPr>
            <m:t>≈</m:t>
          </m:r>
          <m:r>
            <m:t>0.048</m:t>
          </m:r>
        </m:oMath>
      </m:oMathPara>
    </w:p>
    <w:p>
      <w:pPr>
        <w:pStyle w:val="FirstParagraph"/>
      </w:pPr>
      <w:r>
        <w:t xml:space="preserve">That is an extreme apparent occupied fraction, close to the 0.05 sensitivity case and far below the nominal 0.30 engineering estimate. It should not be assumed unless supported by direct evidence such as high-speed imaging, particle tracking, or local time-of-flight data.</w:t>
      </w:r>
    </w:p>
    <w:bookmarkEnd w:id="46"/>
    <w:bookmarkStart w:id="47" w:name="conclusion"/>
    <w:p>
      <w:pPr>
        <w:pStyle w:val="Heading3"/>
      </w:pPr>
      <w:r>
        <w:t xml:space="preserve">Conclusion</w:t>
      </w:r>
    </w:p>
    <w:p>
      <w:pPr>
        <w:pStyle w:val="FirstParagraph"/>
      </w:pPr>
      <w:r>
        <w:t xml:space="preserve">The naive calculation can be useful as a reminder of the detector timing, but it is not a physically consistent ESS estimate for Setup D. In the developed model, ESS is controlled by near-wall optical mass and powder renewal:</w:t>
      </w:r>
    </w:p>
    <w:p>
      <w:pPr>
        <w:pStyle w:val="BodyText"/>
      </w:pPr>
      <m:oMathPara>
        <m:oMathParaPr>
          <m:jc m:val="center"/>
        </m:oMathParaPr>
        <m:oMath>
          <m:sSub>
            <m:e>
              <m:r>
                <m:t>m</m:t>
              </m:r>
            </m:e>
            <m:sub>
              <m:r>
                <m:t>E</m:t>
              </m:r>
              <m:r>
                <m:t>S</m:t>
              </m:r>
              <m:r>
                <m:t>S</m:t>
              </m:r>
              <m:r>
                <m:rPr>
                  <m:sty m:val="p"/>
                </m:rPr>
                <m:t>,</m:t>
              </m:r>
              <m:r>
                <m:t>p</m:t>
              </m:r>
              <m:r>
                <m:t>r</m:t>
              </m:r>
              <m:r>
                <m:t>o</m:t>
              </m:r>
              <m:r>
                <m:t>x</m:t>
              </m:r>
              <m:r>
                <m:t>y</m:t>
              </m:r>
            </m:sub>
          </m:sSub>
          <m:r>
            <m:rPr>
              <m:sty m:val="p"/>
            </m:rPr>
            <m:t>=</m:t>
          </m:r>
          <m:sSub>
            <m:e>
              <m:r>
                <m:t>m</m:t>
              </m:r>
            </m:e>
            <m:sub>
              <m:r>
                <m:t>i</m:t>
              </m:r>
              <m:r>
                <m:t>n</m:t>
              </m:r>
              <m:r>
                <m:t>s</m:t>
              </m:r>
              <m:r>
                <m:t>t</m:t>
              </m:r>
            </m:sub>
          </m:sSub>
          <m:d>
            <m:dPr>
              <m:begChr m:val="("/>
              <m:sepChr m:val=""/>
              <m:endChr m:val=")"/>
              <m:grow/>
            </m:dPr>
            <m:e>
              <m:f>
                <m:fPr>
                  <m:type m:val="bar"/>
                </m:fPr>
                <m:num>
                  <m:sSub>
                    <m:e>
                      <m:r>
                        <m:t>k</m:t>
                      </m:r>
                    </m:e>
                    <m:sub>
                      <m:r>
                        <m:t>w</m:t>
                      </m:r>
                      <m:r>
                        <m:t>a</m:t>
                      </m:r>
                      <m:r>
                        <m:t>l</m:t>
                      </m:r>
                      <m:r>
                        <m:t>l</m:t>
                      </m:r>
                    </m:sub>
                  </m:sSub>
                  <m:r>
                    <m:t> </m:t>
                  </m:r>
                  <m:sSub>
                    <m:e>
                      <m:r>
                        <m:t>v</m:t>
                      </m:r>
                    </m:e>
                    <m:sub>
                      <m:r>
                        <m:t>s</m:t>
                      </m:r>
                      <m:r>
                        <m:t>u</m:t>
                      </m:r>
                      <m:r>
                        <m:t>p</m:t>
                      </m:r>
                    </m:sub>
                  </m:sSub>
                  <m:r>
                    <m:t> </m:t>
                  </m:r>
                  <m:sSub>
                    <m:e>
                      <m:r>
                        <m:t>t</m:t>
                      </m:r>
                    </m:e>
                    <m:sub>
                      <m:r>
                        <m:t>a</m:t>
                      </m:r>
                      <m:r>
                        <m:t>c</m:t>
                      </m:r>
                      <m:r>
                        <m:t>q</m:t>
                      </m:r>
                    </m:sub>
                  </m:sSub>
                  <m:r>
                    <m:t> </m:t>
                  </m:r>
                  <m:sSub>
                    <m:e>
                      <m:r>
                        <m:t>C</m:t>
                      </m:r>
                    </m:e>
                    <m:sub>
                      <m:r>
                        <m:t>w</m:t>
                      </m:r>
                      <m:r>
                        <m:t>i</m:t>
                      </m:r>
                      <m:r>
                        <m:t>n</m:t>
                      </m:r>
                      <m:r>
                        <m:t>d</m:t>
                      </m:r>
                      <m:r>
                        <m:t>o</m:t>
                      </m:r>
                      <m:r>
                        <m:t>w</m:t>
                      </m:r>
                    </m:sub>
                  </m:sSub>
                </m:num>
                <m:den>
                  <m:sSub>
                    <m:e>
                      <m:r>
                        <m:t>ϕ</m:t>
                      </m:r>
                    </m:e>
                    <m:sub>
                      <m:r>
                        <m:t>A</m:t>
                      </m:r>
                    </m:sub>
                  </m:sSub>
                  <m:r>
                    <m:t> </m:t>
                  </m:r>
                  <m:sSub>
                    <m:e>
                      <m:r>
                        <m:t>d</m:t>
                      </m:r>
                    </m:e>
                    <m:sub>
                      <m:r>
                        <m:t>p</m:t>
                      </m:r>
                      <m:r>
                        <m:t>r</m:t>
                      </m:r>
                      <m:r>
                        <m:t>o</m:t>
                      </m:r>
                      <m:r>
                        <m:t>b</m:t>
                      </m:r>
                      <m:r>
                        <m:t>e</m:t>
                      </m:r>
                    </m:sub>
                  </m:sSub>
                </m:den>
              </m:f>
            </m:e>
          </m:d>
        </m:oMath>
      </m:oMathPara>
    </w:p>
    <w:p>
      <w:pPr>
        <w:pStyle w:val="FirstParagraph"/>
      </w:pPr>
      <w:r>
        <w:t xml:space="preserve">The subscan count does not become a powder-renewal count unless the powder actually moves about one probe diameter per subscan. For the nominal 30% holdup case, it does not.</w:t>
      </w:r>
      <w:r>
        <w:t xml:space="preserve"> </w:t>
      </w:r>
      <w:r>
        <w:t xml:space="preserve">## Exported artifacts</w:t>
      </w:r>
    </w:p>
    <w:p>
      <w:pPr>
        <w:pStyle w:val="BodyText"/>
      </w:pPr>
      <w:r>
        <w:t xml:space="preserve">CSV files</w:t>
      </w:r>
    </w:p>
    <w:p>
      <w:pPr>
        <w:pStyle w:val="Compact"/>
        <w:numPr>
          <w:ilvl w:val="0"/>
          <w:numId w:val="1012"/>
        </w:numPr>
      </w:pPr>
      <w:r>
        <w:t xml:space="preserve">worked_example_summary.csv</w:t>
      </w:r>
    </w:p>
    <w:p>
      <w:pPr>
        <w:pStyle w:val="Compact"/>
        <w:numPr>
          <w:ilvl w:val="0"/>
          <w:numId w:val="1012"/>
        </w:numPr>
      </w:pPr>
      <w:r>
        <w:t xml:space="preserve">holdup_sensitivity.csv</w:t>
      </w:r>
    </w:p>
    <w:p>
      <w:pPr>
        <w:pStyle w:val="Compact"/>
        <w:numPr>
          <w:ilvl w:val="0"/>
          <w:numId w:val="1012"/>
        </w:numPr>
      </w:pPr>
      <w:r>
        <w:t xml:space="preserve">penetration_sweep.csv</w:t>
      </w:r>
    </w:p>
    <w:p>
      <w:pPr>
        <w:pStyle w:val="Compact"/>
        <w:numPr>
          <w:ilvl w:val="0"/>
          <w:numId w:val="1012"/>
        </w:numPr>
      </w:pPr>
      <w:r>
        <w:t xml:space="preserve">mass_scale_comparison.csv</w:t>
      </w:r>
    </w:p>
    <w:p>
      <w:pPr>
        <w:pStyle w:val="FirstParagraph"/>
      </w:pPr>
      <w:r>
        <w:t xml:space="preserve">Figure files</w:t>
      </w:r>
    </w:p>
    <w:p>
      <w:pPr>
        <w:pStyle w:val="Compact"/>
        <w:numPr>
          <w:ilvl w:val="0"/>
          <w:numId w:val="1013"/>
        </w:numPr>
      </w:pPr>
      <w:r>
        <w:t xml:space="preserve">schematic_probe_geometry_and_bookkeeping.png</w:t>
      </w:r>
    </w:p>
    <w:p>
      <w:pPr>
        <w:pStyle w:val="Compact"/>
        <w:numPr>
          <w:ilvl w:val="0"/>
          <w:numId w:val="1013"/>
        </w:numPr>
      </w:pPr>
      <w:r>
        <w:t xml:space="preserve">plot_01_local_velocity_vs_holdup.png</w:t>
      </w:r>
    </w:p>
    <w:p>
      <w:pPr>
        <w:pStyle w:val="Compact"/>
        <w:numPr>
          <w:ilvl w:val="0"/>
          <w:numId w:val="1013"/>
        </w:numPr>
      </w:pPr>
      <w:r>
        <w:t xml:space="preserve">plot_02_renewal_vs_holdup.png</w:t>
      </w:r>
    </w:p>
    <w:p>
      <w:pPr>
        <w:pStyle w:val="Compact"/>
        <w:numPr>
          <w:ilvl w:val="0"/>
          <w:numId w:val="1013"/>
        </w:numPr>
      </w:pPr>
      <w:r>
        <w:t xml:space="preserve">plot_03_ess_proxy_vs_holdup.png</w:t>
      </w:r>
    </w:p>
    <w:p>
      <w:pPr>
        <w:pStyle w:val="Compact"/>
        <w:numPr>
          <w:ilvl w:val="0"/>
          <w:numId w:val="1013"/>
        </w:numPr>
      </w:pPr>
      <w:r>
        <w:t xml:space="preserve">plot_04_ess_proxy_vs_penetration_selected_holdups.png</w:t>
      </w:r>
    </w:p>
    <w:p>
      <w:pPr>
        <w:pStyle w:val="Compact"/>
        <w:numPr>
          <w:ilvl w:val="0"/>
          <w:numId w:val="1013"/>
        </w:numPr>
      </w:pPr>
      <w:r>
        <w:t xml:space="preserve">plot_05_contour_ess_proxy_holdup_penetration.png</w:t>
      </w:r>
    </w:p>
    <w:p>
      <w:pPr>
        <w:pStyle w:val="Compact"/>
        <w:numPr>
          <w:ilvl w:val="0"/>
          <w:numId w:val="1013"/>
        </w:numPr>
      </w:pPr>
      <w:r>
        <w:t xml:space="preserve">plot_06_mass_scale_comparison.png</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2026-05-07T19:02:20Z</dcterms:created>
  <dcterms:modified xsi:type="dcterms:W3CDTF">2026-05-07T19:02:20Z</dcterms:modified>
</cp:coreProperties>
</file>

<file path=docProps/custom.xml><?xml version="1.0" encoding="utf-8"?>
<Properties xmlns="http://schemas.openxmlformats.org/officeDocument/2006/custom-properties" xmlns:vt="http://schemas.openxmlformats.org/officeDocument/2006/docPropsVTypes"/>
</file>