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002B49"/>
          <w:sz w:val="32"/>
          <w:szCs w:val="32"/>
        </w:rPr>
        <w:t xml:space="preserve">MEMORÁNDUM TÉCNICO NORMATIVO: MATRIZ DE 25 CUENTAS DE COORDINACIÓN ESTADAL (VISOR KGI/KPI) PARA EL PORTAL SIGI — FASE QA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NOMENCLATURA NORMATIVA: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NAC_2026_GGPD_MATRIZ_25_CUENTAS_VISOR_ESTADAL_SIGI_V01.md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CÓDIGO INSTRUCTIVO INSTITUCIONAL: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GGPD-SGM-INS-005 (v3.0 ISO)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FECHA DE EMISIÓN: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14 de Agosto de 2026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PARA: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Gerente General de Distribución | Coordinadores Estadales de Planificación | Salas Situacionales Regionales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DE: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Área de Innovación, Tecnología y Gobernanza de Datos (GGPD)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ASUNTO: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Asignación controlada de credenciales, patrón de contraseñas y marco de gobernanza para las 25 Cuentas Estadales (Visor Ejecutivo KGI/KPI) en el Sistema Integral de Gestión de Información (SIGI).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1. MARCO NORMATIVO Y PRINCIPIOS DE GOBERNANZA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El presente instrumento establece las directrices de seguridad, control de acceso y asignación de credenciales para las 24 entidades federales y el territorio de Guayana Esequiba, en estricto cumplimiento de: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1.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ISO 8000-110 (Calidad de Datos Sintáctica y Semántica):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Estandarización de códigos geográficos de 3 letras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ZUL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DCA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CAR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...,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YAR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GEQ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 y nombres canónicos de coordinaciones.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2.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ISO/IEC 27001:2022 (Controles A.9.2, A.9.4.2 y A.9.4.3):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Asignación individualizada de usuarios, principio de mínimo privilegio y gestión de contraseñas.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3.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ISACA COBIT 2019 (Segregación de Funciones - SoD):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Separación tajante entre la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Ingesta de Datos Masivos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(reservada a los Custodios/Administradores de cada app maestra) y la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Visualización y Monitoreo de KGI/KPI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(asignada a las Coordinaciones Estadales).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4.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OWASP Top 10 / ASVS v4.0: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Robustecimiento de autenticación, prevención de fuerza bruta y contraseñas de alta entropía.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2. DEFINICIÓN DE LA REGLA DE NEGOCIO: ROL `VISOR_ESTADAL`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Las Coordinaciones Estadales operan como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unidades de análisis táctico y toma de decisiones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 Por consiguiente: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Sin permisos de ingesta masiva en apps satélites: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La carga masiva de interrupciones (SCTIS), transformadores indisponibles (SCEIN) y proyectos (Planificación SEN) es ejecutada exclusivamente por los Administradores Nacionales de cada aplicación tras pasar los filtros de homologación y deduplicación.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Ámbito Geográfico Bloqueado (`State-Lock`):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Al iniciar sesión en SIGI, el selector territorial queda fijado en la entidad asignada, convirtiendo el sistema en el *Portal Estadal de Distribución*.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Ocultamiento de Módulos Críticos: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Los módulos de *Lanzador de Apps Maestras*, *Repositorio Google Drive* y *Gestión de Usuarios* se ocultan completamente para este rol.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Apto para Salas Situacionales y TV: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Al no poseer credenciales de escritura ni enlaces externos, la sesión puede mantenerse proyectada en monitores de sala situacional sin representar un vector de riesgo cibernético.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3. POLÍTICA ESTANDARIZADA DE CONTRASEÑAS CONTROLADAS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📐 Patrón de Contraseña Inicial para la Fase de QA: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Para garantizar alta entropía, cumplimiento OWASP y evitar errores tipográficos por tildes en terminales Linux/Web, el patrón institucional establecido es: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$$\text{Formato: } \mathbf{[NombreEstadoSinAcentos]2026!.} \quad \text{o} \quad \mathbf{Coord\_[CodigoEstado]2026!.}$$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Requisitos Cumplidos: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Longitud mínima: 12 caracteres.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Caracteres en mayúscula (inicial).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Caracteres en minúscula.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Dígitos numéricos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2026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Símbolos especiales de alta seguridad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!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y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.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Compatibilidad ASCII 100% (sin acentos para prevenir fallas de codificación UTF-8).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4. MATRIZ MAESTRA DE LAS 25 CUENTAS DE COORDINACIÓN ESTADAL (SIGI)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Estado / Territorio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Usuario (</w:t>
            </w:r>
            <w:r>
              <w:rPr>
                <w:rFonts w:ascii="Consolas" w:cs="Consolas" w:eastAsia="Consolas" w:hAnsi="Consolas"/>
                <w:b/>
                <w:bCs/>
                <w:color w:val="00F2FE"/>
                <w:sz w:val="18"/>
                <w:szCs w:val="18"/>
              </w:rPr>
              <w:t xml:space="preserve"> username 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Nombre Completo Institucional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Correo Corporativo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Cuenta Google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Contraseña Inicial QA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Perfil / Rol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1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DCA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Distrito Capital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coord_capital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Coordinación Estadal Distrito Capital (GGPD)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coord.capital@corpoelec.gob.ve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distribucion.capital.ggpd@gmail.com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Capital2026!.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2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MIR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Miranda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coord_miranda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Coordinación Estadal Miranda (GGPD)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coord.miranda@corpoelec.gob.ve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distribucion.miranda.ggpd@gmail.com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Miranda2026!.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3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LGU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La Guaira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coord_laguaira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Coordinación Estadal La Guaira (GGPD)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coord.laguaira@corpoelec.gob.ve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distribucion.laguaira.ggpd@gmail.com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Laguaira2026!.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4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CAR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Carabobo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coord_carabobo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Coordinación Estadal Carabobo (GGPD)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coord.carabobo@corpoelec.gob.ve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distribucion.carabobo.ggpd@gmail.com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Carabobo2026!.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5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ARA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Aragua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coord_aragua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Coordinación Estadal Aragua (GGPD)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coord.aragua@corpoelec.gob.ve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distribucion.aragua.ggpd@gmail.com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Aragua2026!.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6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ZUL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Zulia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coord_zulia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Coordinación Estadal Zulia (GGPD)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coord.zulia@corpoelec.gob.ve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distribucion.zulia.ggpd@gmail.com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Zulia2026!.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7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FAL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Falcón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coord_falcon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Coordinación Estadal Falcón (GGPD)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coord.falcon@corpoelec.gob.ve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distribucion.falcon.ggpd@gmail.com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Falcon2026!.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8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LAR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Lara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coord_lara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Coordinación Estadal Lara (GGPD)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coord.lara@corpoelec.gob.ve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distribucion.lara.ggpd@gmail.com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Lara2026!.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9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YAR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Yaracuy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coord_yaracuy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Coordinación Estadal Yaracuy (GGPD)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coord.yaracuy@corpoelec.gob.ve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distribucion.yaracuy.ggpd@gmail.com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Yaracuy2026!.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10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TAC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Táchira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coord_tachira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Coordinación Estadal Táchira (GGPD)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coord.tachira@corpoelec.gob.ve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distribucion.tachira.ggpd@gmail.com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Tachira2026!.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11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MER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Mérida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coord_merida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Coordinación Estadal Mérida (GGPD)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coord.merida@corpoelec.gob.ve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distribucion.merida.ggpd@gmail.com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Merida2026!.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12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TRU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Trujillo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coord_trujillo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Coordinación Estadal Trujillo (GGPD)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coord.trujillo@corpoelec.gob.ve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distribucion.trujillo.ggpd@gmail.com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Trujillo2026!.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13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BAR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Barinas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coord_barinas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Coordinación Estadal Barinas (GGPD)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coord.barinas@corpoelec.gob.ve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distribucion.barinas.ggpd@gmail.com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Barinas2026!.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14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POR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Portuguesa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coord_portuguesa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Coordinación Estadal Portuguesa (GGPD)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coord.portuguesa@corpoelec.gob.ve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distribucion.portuguesa.ggpd@gmail.com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Portuguesa2026!.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15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COJ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Cojedes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coord_cojedes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Coordinación Estadal Cojedes (GGPD)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coord.cojedes@corpoelec.gob.ve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distribucion.cojedes.ggpd@gmail.com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Cojedes2026!.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16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GUA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Guárico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coord_guarico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Coordinación Estadal Guárico (GGPD)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coord.guarico@corpoelec.gob.ve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distribucion.guarico.ggpd@gmail.com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Guarico2026!.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17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APU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Apure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coord_apure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Coordinación Estadal Apure (GGPD)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coord.apure@corpoelec.gob.ve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distribucion.apure.ggpd@gmail.com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Apure2026!.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18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ANZ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Anzoátegui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coord_anzoategui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Coordinación Estadal Anzoátegui (GGPD)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coord.anzoategui@corpoelec.gob.ve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distribucion.anzoategui.ggpd@gmail.com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Anzoategui2026!.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19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MON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Monagas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coord_monagas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Coordinación Estadal Monagas (GGPD)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coord.monagas@corpoelec.gob.ve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distribucion.monagas.ggpd@gmail.com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Monagas2026!.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20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SUC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Sucre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coord_sucre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Coordinación Estadal Sucre (GGPD)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coord.sucre@corpoelec.gob.ve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distribucion.sucre.ggpd@gmail.com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Sucre2026!.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21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NES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Nueva Esparta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coord_nuevaesparta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Coordinación Estadal Nueva Esparta (GGPD)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coord.nuevaesparta@corpoelec.gob.ve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distribucion.nuevaesparta.ggpd@gmail.com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Nuevaesparta2026!.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22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BOL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Bolívar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coord_bolivar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Coordinación Estadal Bolívar (GGPD)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coord.bolivar@corpoelec.gob.ve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distribucion.bolivar.ggpd@gmail.com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Bolivar2026!.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23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AMA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Amazonas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coord_amazonas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Coordinación Estadal Amazonas (GGPD)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coord.amazonas@corpoelec.gob.ve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distribucion.amazonas.ggpd@gmail.com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Amazonas2026!.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24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DEL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Delta Amacuro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coord_deltaamacuro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Coordinación Estadal Delta Amacuro (GGPD)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coord.deltaamacuro@corpoelec.gob.ve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distribucion.deltaamacuro.ggpd@gmail.com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Deltaamacuro2026!.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25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GEQ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Guayana Esequiba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coord_esequibo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Proyecto Especial de Electrificación Guayana Esequiba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electrificacion.esequibo@corpoelec.gob.ve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esequibo.electrificacion.ggpd@gmail.com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Esequibo2026!.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</w:tr>
    </w:tbl>
    <w:p>
      <w:pPr>
        <w:spacing w:after="180"/>
      </w:pP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4.1 MATRIZ DE CUENTAS EJECUTIVAS Y ADMINISTRATIVAS CENTRALES (GGPD NACIONAL)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Nivel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Usuario (</w:t>
            </w:r>
            <w:r>
              <w:rPr>
                <w:rFonts w:ascii="Consolas" w:cs="Consolas" w:eastAsia="Consolas" w:hAnsi="Consolas"/>
                <w:b/>
                <w:bCs/>
                <w:color w:val="00F2FE"/>
                <w:sz w:val="18"/>
                <w:szCs w:val="18"/>
              </w:rPr>
              <w:t xml:space="preserve"> username 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Nombre Completo Institucional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Cargo / Rol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Correo Corporativo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Cuenta Google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Contraseña de Acceso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Alcance de Permisos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A1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Central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ggpd_admin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Administrador General GGPD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ADMINISTRADOR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admin.ggpd@corpoelec.gob.ve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bk.ggpd.corpoelec@gmail.com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admin2026!.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Acceso Total (SCTIS, SCEIN, SCPPE, SCMTP, GDrive, Usuarios)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A2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Central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a_correa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Ing. Adrian Correa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GERENCIA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(Gerente General)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a.correa@corpoelec.gob.ve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adrian.correa.ggpd@gmail.com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Correa2026!.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Control Ejecutivo, Minutas, Aprobación de Viáticos y Proyectos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A3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Central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j_pacheco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Ing. Josue Pacheco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ADMINISTRADOR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(Dev &amp; Data)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j.pacheco@corpoelec.gob.ve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josue.pacheco.ggpd@gmail.com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Pacheco2026!.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Administración Tecnológica, Arquitectura BD y Seguridad</w:t>
            </w:r>
          </w:p>
        </w:tc>
      </w:tr>
    </w:tbl>
    <w:p>
      <w:pPr>
        <w:spacing w:after="180"/>
      </w:pP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5. INDICADORES VISIBLES EN MODO SALA SITUACIONAL (KGI vs KPI)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Categoría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Indicador Principal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Fuente / Aplicación Maestra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Disponibilidad de Red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SAIDI / SAIFI Estadal y Continuidad del Servicio (%)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KGI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SCTIS V2.0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Energía Crítica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Energía No Suministrada (ENS en MWh)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KGI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SCTIS V2.0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Gobernanza Táctica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Tasa de Cumplimiento de Acuerdos de Minutas Regionales (%)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KGI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SCMTP V2.0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Transformación Nube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Tasa de Digitalización Zero-WhatsApp (%)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KGI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SIGI Auditoría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Parque de Activos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Bahías y Transformadores Indisponibles en Proceso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KPI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SCEIN V3.0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Mantenimiento Red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Tiempo Medio de Reparación de Circuitos (MTTR en Horas)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KPI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SCTIS V2.0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Obras y Proyectos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% de Ejecución Física y Financiera POA / PRTSEN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KPI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SCPPE V3.0</w:t>
            </w:r>
          </w:p>
        </w:tc>
      </w:tr>
    </w:tbl>
    <w:p>
      <w:pPr>
        <w:spacing w:after="180"/>
      </w:pP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&gt;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Nota de Tratamiento Especial para Guayana Esequiba (`GEQ`):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&gt; Al constituir un territorio de expansión estratégica en fase de desarrollo, sus tableros mostrarán el avance del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Plan de Electrificación Integral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trazabilidad de estudios geográficos y proyección de cargas comunitarias.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6. PROTOCOLO DE ENTREGA Y RECOMENDACIONES DE SEGURIDAD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1.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Entrega Formal de Credenciales: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El Administrador General de GGPD remitirá a cada Coordinador Estadal su usuario institucional y contraseña inicial de forma confidencial.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2.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Primer Inicio de Sesión y Verificación: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Cada coordinación ingresará en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http://localhost:3001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(o URL de despliegue oficial) y verificará que el tablero cargue automáticamente con los datos de su entidad federal.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3.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Restricción de Reenvío: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Queda terminantemente prohibido compartir estas credenciales por canales no seguros (mensajería instantánea no corporativa).</w:t>
      </w:r>
    </w:p>
    <w:p>
      <w:pPr>
        <w:pBdr>
          <w:bottom w:val="single" w:color="CBD5E1" w:sz="6" w:space="1"/>
        </w:pBdr>
        <w:spacing w:after="120" w:before="120"/>
      </w:pP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Atentamente,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Área de Innovación, Tecnología y Gobernanza de Datos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Gerencia General de Planificación de Distribución (GGPD) — CORPOELEC  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*Norma de Documentación Institucional GGPD-SGM-INS-005 (v3.0 ISO)*</w:t>
      </w:r>
    </w:p>
    <w:sectPr>
      <w:headerReference w:type="default" r:id="rId7"/>
      <w:footerReference w:type="default" r:id="rId8"/>
      <w:pgSz w:w="12240" w:h="15840" w:orient="landscape"/>
      <w:pgMar w:top="864" w:right="1008" w:bottom="864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00"/>
      <w:gridCol w:w="100"/>
    </w:tblGrid>
    <w:tr>
      <w:tc>
        <w:tcPr>
          <w:tcW w:type="pct" w:w="70%"/>
          <w:tcBorders>
            <w:top w:val="single" w:color="CBD5E1" w:sz="4"/>
          </w:tcBorders>
        </w:tcPr>
        <w:p>
          <w:r>
            <w:rPr>
              <w:color w:val="64748B"/>
              <w:sz w:val="16"/>
              <w:szCs w:val="16"/>
            </w:rPr>
            <w:t xml:space="preserve">CONFIDENCIAL · Cumplimiento ISO/IEC 27001:2022 &amp; COBIT 2019 · República Bolivariana de Venezuela</w:t>
          </w:r>
        </w:p>
      </w:tc>
      <w:tc>
        <w:tcPr>
          <w:tcW w:type="pct" w:w="30%"/>
          <w:tcBorders>
            <w:top w:val="single" w:color="CBD5E1" w:sz="4"/>
          </w:tcBorders>
        </w:tcPr>
        <w:p>
          <w:pPr>
            <w:jc w:val="right"/>
          </w:pPr>
          <w:r>
            <w:rPr>
              <w:color w:val="64748B"/>
              <w:sz w:val="16"/>
              <w:szCs w:val="16"/>
            </w:rPr>
            <w:t xml:space="preserve">Página </w:t>
          </w:r>
          <w:r>
            <w:rPr>
              <w:b/>
              <w:bCs/>
              <w:color w:val="002B49"/>
              <w:sz w:val="16"/>
              <w:szCs w:val="16"/>
            </w:rPr>
            <w:fldChar w:fldCharType="begin"/>
            <w:instrText xml:space="preserve">PAGE</w:instrText>
            <w:fldChar w:fldCharType="separate"/>
            <w:fldChar w:fldCharType="end"/>
          </w:r>
          <w:r>
            <w:rPr>
              <w:color w:val="64748B"/>
              <w:sz w:val="16"/>
              <w:szCs w:val="16"/>
            </w:rPr>
            <w:t xml:space="preserve"> de </w:t>
          </w:r>
          <w:r>
            <w:rPr>
              <w:b/>
              <w:bCs/>
              <w:color w:val="002B49"/>
              <w:sz w:val="16"/>
              <w:szCs w:val="16"/>
            </w:rPr>
            <w:fldChar w:fldCharType="begin"/>
            <w:instrText xml:space="preserve">NUMPAGES</w:instrText>
            <w:fldChar w:fldCharType="separate"/>
            <w:fldChar w:fldCharType="end"/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pct" w:w="100%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00"/>
      <w:gridCol w:w="100"/>
    </w:tblGrid>
    <w:tr>
      <w:tc>
        <w:tcPr>
          <w:tcW w:type="pct" w:w="60%"/>
          <w:tcBorders>
            <w:bottom w:val="single" w:color="002B49" w:sz="6"/>
          </w:tcBorders>
        </w:tcPr>
        <w:p>
          <w:r>
            <w:rPr>
              <w:b/>
              <w:bCs/>
              <w:color w:val="002B49"/>
              <w:sz w:val="18"/>
              <w:szCs w:val="18"/>
            </w:rPr>
            <w:t xml:space="preserve">CORPOELEC · </w:t>
          </w:r>
          <w:r>
            <w:rPr>
              <w:color w:val="475569"/>
              <w:sz w:val="18"/>
              <w:szCs w:val="18"/>
            </w:rPr>
            <w:t xml:space="preserve">Gerencia General de Planificación de Distribución (GGPD)</w:t>
          </w:r>
        </w:p>
      </w:tc>
      <w:tc>
        <w:tcPr>
          <w:tcW w:type="pct" w:w="40%"/>
          <w:tcBorders>
            <w:bottom w:val="single" w:color="002B49" w:sz="6"/>
          </w:tcBorders>
        </w:tcPr>
        <w:p>
          <w:pPr>
            <w:jc w:val="right"/>
          </w:pPr>
          <w:r>
            <w:rPr>
              <w:b/>
              <w:bCs/>
              <w:color w:val="004488"/>
              <w:sz w:val="16"/>
              <w:szCs w:val="16"/>
            </w:rPr>
            <w:t xml:space="preserve">NORMA GGPD-SGM-INS-005 (v3.0 ISO)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E293B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NAC_2026_GGPD_MATRIZ_25_CUENTAS_VISOR_ESTADAL_SIGI_V01</dc:title>
  <dc:creator>Un-named</dc:creator>
  <dc:description>Documento Oficial CORPOELEC - GGPD bajo norma GGPD-SGM-INS-005 (v3.0 ISO)</dc:description>
  <cp:lastModifiedBy>Un-named</cp:lastModifiedBy>
  <cp:revision>1</cp:revision>
  <dcterms:created xsi:type="dcterms:W3CDTF">2026-08-15T01:25:45.142Z</dcterms:created>
  <dcterms:modified xsi:type="dcterms:W3CDTF">2026-08-15T01:25:45.142Z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