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02B49"/>
          <w:sz w:val="19"/>
        </w:rPr>
        <w:t>REPÚBLICA BOLIVARIANA DE VENEZUELA</w:t>
        <w:br/>
        <w:t>MINISTERIO DEL PODER POPULAR PARA LA ENERGÍA ELÉCTRICA (MPPEE)</w:t>
        <w:br/>
        <w:t>CORPORACIÓN ELÉCTRICA NACIONAL, S.A. (CORPOELEC)</w:t>
        <w:br/>
        <w:t>GERENCIA GENERAL DE PLANIFICACIÓN DE DISTRIBUCIÓN (GGPD)</w:t>
      </w:r>
    </w:p>
    <w:p>
      <w:pPr>
        <w:spacing w:after="80"/>
      </w:pPr>
    </w:p>
    <w:p>
      <w:pPr>
        <w:spacing w:before="80" w:after="160"/>
      </w:pPr>
      <w:r>
        <w:rPr>
          <w:rFonts w:ascii="Consolas" w:hAnsi="Consolas"/>
          <w:color w:val="64748B"/>
          <w:sz w:val="16"/>
        </w:rPr>
        <w:t>====================================================================================================</w:t>
        <w:br/>
        <w:t>REPORTE CONSOLIDADO DE POSTURA DE SEGURIDAD DE LAS 8 APLICACIONES DEL REPOSITORIO MAESTRO</w:t>
        <w:br/>
        <w:t>====================================================================================================</w:t>
        <w:br/>
        <w:t>CÓDIGO INSTITUCIONAL : GGPD-SGM-RSE-002 (v1.0 ISO)</w:t>
        <w:br/>
        <w:t>NOMENCLATURA ARCHIVO : NAC_2026_GGPD_REPORTE_SEGURIDAD_8_APLICACIONES_V01.md</w:t>
        <w:br/>
        <w:t>CÓDIGO DOCUMENTAL    : DOC-GGPD-2026-SEC-8APPS-001</w:t>
        <w:br/>
        <w:t>APLICACIONES CUBIERTAS: SIGI · SCTIS · SCMTP · SCPPE · SCEIN · SCGCC · SIGAD · SIGA-SEN</w:t>
        <w:br/>
        <w:t>CLASIFICACIÓN        : CONFIDENCIAL · Uso restringido (ATIT, Auditoría, GGPD)</w:t>
        <w:br/>
        <w:t>AUTOR / ELABORACIÓN  : Equipo de Automatización, Analítica de Datos e Inteligencia Artificial (GGPD)</w:t>
        <w:br/>
        <w:t>DIRIGIDO A           : ATIT Corporativo | Auditores Internos | Coordinación de Ciberseguridad</w:t>
        <w:br/>
        <w:t>MARCO NORMATIVO      : ISO/IEC 27001:2022 · ISO 8000-110 · OWASP Top 10 · ISACA COBIT 2019 (MEA02)</w:t>
        <w:br/>
        <w:t>FECHA DE EMISIÓN     : 12 de Octubre de 2026</w:t>
        <w:br/>
        <w:t>ESTADO DE APLICACIÓN : Vigente · Actualizado con la rotación de la API key (12-10-2026)</w:t>
        <w:br/>
        <w:t>====================================================================================================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📋 1. IDENTIFICACIÓN Y 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Parámetro Institucional</w:t>
            </w:r>
          </w:p>
        </w:tc>
        <w:tc>
          <w:tcPr>
            <w:tcW w:type="dxa" w:w="4896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Especificación Técnica y Normativa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Organización Emisora: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Corporación Eléctrica Nacional, S.A. (CORPOELEC)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Órgano Rector / Adscripción: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Ministerio del Poder Popular para la Energía Eléctrica (MPPEE)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Gerencia Responsable: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Gerencia General de Planificación de Distribución (GGPD)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Título del Instrumento: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Postura de Seguridad Consolidada de las Ocho (8) Aplicaciones Institucionales desplegadas en VibeHost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Naturaleza del Documento: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Inventario técnico de seguridad por aplicación: estado de blindaje, gestión de claves, fase de ciclo de vida (operativo/QA) y riesgos pendientes. Complementa al reporte detallado de SIGAD/SIGA-SEN (</w:t>
            </w:r>
            <w:r>
              <w:rPr>
                <w:rFonts w:ascii="Consolas" w:hAnsi="Consolas"/>
                <w:sz w:val="18"/>
              </w:rPr>
              <w:t>NAC_2026_GGPD_REPORTE_SEGURIDAD_SIGAD_SIGASEN_V01.md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Clasificación de Confidencialidad: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CONFIDENCIAL</w:t>
            </w:r>
            <w:r>
              <w:rPr>
                <w:sz w:val="18"/>
              </w:rPr>
              <w:t xml:space="preserve"> — no contiene claves API ni contraseñas.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Código Nomenclatura Oficial: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NAC_2026_GGPD_REPORTE_SEGURIDAD_8_APLICACIONES_V01</w:t>
            </w:r>
            <w:r>
              <w:rPr>
                <w:sz w:val="18"/>
              </w:rPr>
              <w:t xml:space="preserve"> (Base </w:t>
            </w:r>
            <w:r>
              <w:rPr>
                <w:rFonts w:ascii="Consolas" w:hAnsi="Consolas"/>
                <w:sz w:val="18"/>
              </w:rPr>
              <w:t>GGPD-SGM-RSE-002 v1.0 ISO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Fecha de Aprobación: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12 de Octubre de 2026</w:t>
            </w:r>
          </w:p>
        </w:tc>
      </w:tr>
      <w:tr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Próxima Revisión Ordinaria:</w:t>
            </w:r>
          </w:p>
        </w:tc>
        <w:tc>
          <w:tcPr>
            <w:tcW w:type="dxa" w:w="4896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12 de Enero de 2027</w:t>
            </w:r>
          </w:p>
        </w:tc>
      </w:tr>
      <w:tr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Aprobado y Autorizado por:</w:t>
            </w:r>
          </w:p>
        </w:tc>
        <w:tc>
          <w:tcPr>
            <w:tcW w:type="dxa" w:w="4896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Gerencia General de Planificación de Distribución (GGPD)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🎯 2. OBJETIVO</w:t>
      </w:r>
    </w:p>
    <w:p>
      <w:pPr>
        <w:spacing w:after="120"/>
      </w:pPr>
      <w:r>
        <w:rPr>
          <w:sz w:val="21"/>
        </w:rPr>
        <w:t xml:space="preserve">Documentar, de forma consolidada y honesta, la </w:t>
      </w:r>
      <w:r>
        <w:rPr>
          <w:b/>
          <w:sz w:val="21"/>
        </w:rPr>
        <w:t>postura de seguridad de cada una de las 8 aplicaciones</w:t>
      </w:r>
      <w:r>
        <w:rPr>
          <w:sz w:val="21"/>
        </w:rPr>
        <w:t xml:space="preserve"> del Repositorio Maestro de Distribución desplegadas en VibeHost, diferenciando con claridad:</w:t>
      </w:r>
    </w:p>
    <w:p>
      <w:pPr>
        <w:pStyle w:val="ListBullet"/>
        <w:spacing w:after="60"/>
      </w:pPr>
      <w:r>
        <w:rPr>
          <w:sz w:val="21"/>
        </w:rPr>
        <w:t xml:space="preserve">Las </w:t>
      </w:r>
      <w:r>
        <w:rPr>
          <w:b/>
          <w:sz w:val="21"/>
        </w:rPr>
        <w:t>2 aplicaciones con blindaje integral de grado industrial</w:t>
      </w:r>
      <w:r>
        <w:rPr>
          <w:sz w:val="21"/>
        </w:rPr>
        <w:t xml:space="preserve"> (SIGAD y SIGA-SEN — Prioridad Nacional).</w:t>
      </w:r>
    </w:p>
    <w:p>
      <w:pPr>
        <w:pStyle w:val="ListBullet"/>
        <w:spacing w:after="60"/>
      </w:pPr>
      <w:r>
        <w:rPr>
          <w:sz w:val="21"/>
        </w:rPr>
        <w:t xml:space="preserve">Las </w:t>
      </w:r>
      <w:r>
        <w:rPr>
          <w:b/>
          <w:sz w:val="21"/>
        </w:rPr>
        <w:t>6 aplicaciones en fase de QA</w:t>
      </w:r>
      <w:r>
        <w:rPr>
          <w:sz w:val="21"/>
        </w:rPr>
        <w:t xml:space="preserve"> que ya recibieron la </w:t>
      </w:r>
      <w:r>
        <w:rPr>
          <w:b/>
          <w:sz w:val="21"/>
        </w:rPr>
        <w:t>rotación de la clave de servicio</w:t>
      </w:r>
      <w:r>
        <w:rPr>
          <w:sz w:val="21"/>
        </w:rPr>
        <w:t xml:space="preserve"> (eliminando la clave con </w:t>
      </w:r>
      <w:r>
        <w:rPr>
          <w:rFonts w:ascii="Consolas" w:hAnsi="Consolas"/>
          <w:sz w:val="21"/>
        </w:rPr>
        <w:t>BYPASSRLS</w:t>
      </w:r>
      <w:r>
        <w:rPr>
          <w:sz w:val="21"/>
        </w:rPr>
        <w:t xml:space="preserve"> de sus bundles).</w:t>
      </w:r>
    </w:p>
    <w:p>
      <w:pPr>
        <w:spacing w:after="120"/>
      </w:pPr>
      <w:r>
        <w:rPr>
          <w:sz w:val="21"/>
        </w:rPr>
        <w:t xml:space="preserve">Esto entrega a ATIT un </w:t>
      </w:r>
      <w:r>
        <w:rPr>
          <w:b/>
          <w:sz w:val="21"/>
        </w:rPr>
        <w:t>mapa de madurez de seguridad</w:t>
      </w:r>
      <w:r>
        <w:rPr>
          <w:sz w:val="21"/>
        </w:rPr>
        <w:t xml:space="preserve"> accionable y sin ambigüedades, así como los </w:t>
      </w:r>
      <w:r>
        <w:rPr>
          <w:b/>
          <w:sz w:val="21"/>
        </w:rPr>
        <w:t>riesgos pendientes</w:t>
      </w:r>
      <w:r>
        <w:rPr>
          <w:sz w:val="21"/>
        </w:rPr>
        <w:t xml:space="preserve"> que el equipo ya tiene identificados y planificados.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🌐 3. MATRIZ GENERAL DE POSTURA DE SEGURIDAD POR APLICACIÓN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399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99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1399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1399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URL desplegada (VibeHost)</w:t>
            </w:r>
          </w:p>
        </w:tc>
        <w:tc>
          <w:tcPr>
            <w:tcW w:type="dxa" w:w="1399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Blindaje integral (IAM+RLS+CSP)</w:t>
            </w:r>
          </w:p>
        </w:tc>
        <w:tc>
          <w:tcPr>
            <w:tcW w:type="dxa" w:w="1399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Rotación de clave (sin servicio en bundle)</w:t>
            </w:r>
          </w:p>
        </w:tc>
        <w:tc>
          <w:tcPr>
            <w:tcW w:type="dxa" w:w="1399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Fase / Observación</w:t>
            </w:r>
          </w:p>
        </w:tc>
      </w:tr>
      <w:tr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:---: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:---: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:---: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SIGI</w:t>
            </w:r>
            <w:r>
              <w:rPr>
                <w:sz w:val="18"/>
              </w:rPr>
              <w:t xml:space="preserve"> (Consola Central)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3001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https://corpoelec-sigi-corpoelec-ggpd-hosting-apps.vibehost.space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QA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VITE_BCI_API_KEY</w:t>
            </w:r>
            <w:r>
              <w:rPr>
                <w:sz w:val="18"/>
              </w:rPr>
              <w:t xml:space="preserve"> (proyecto aparte </w:t>
            </w:r>
            <w:r>
              <w:rPr>
                <w:rFonts w:ascii="Consolas" w:hAnsi="Consolas"/>
                <w:sz w:val="18"/>
              </w:rPr>
              <w:t>jd3uejbz</w:t>
            </w:r>
            <w:r>
              <w:rPr>
                <w:sz w:val="18"/>
              </w:rPr>
              <w:t>) no afectada</w:t>
            </w:r>
          </w:p>
        </w:tc>
      </w:tr>
      <w:tr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SCTIS</w:t>
            </w:r>
            <w:r>
              <w:rPr>
                <w:sz w:val="18"/>
              </w:rPr>
              <w:t xml:space="preserve"> (Tiras de Interrupción)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3002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https://corpoelec-sctis-corpoelec-ggpd-hosting-apps.vibehost.space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✅ (no embebe clave; config vía </w:t>
            </w:r>
            <w:r>
              <w:rPr>
                <w:rFonts w:ascii="Consolas" w:hAnsi="Consolas"/>
                <w:sz w:val="18"/>
              </w:rPr>
              <w:t>localStorage</w:t>
            </w:r>
            <w:r>
              <w:rPr>
                <w:sz w:val="18"/>
              </w:rPr>
              <w:t>)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QA</w:t>
            </w:r>
            <w:r>
              <w:rPr>
                <w:sz w:val="18"/>
              </w:rPr>
              <w:t xml:space="preserve"> · ⚠️ Backend Python pendiente de clave nueva (ver §5)</w:t>
            </w:r>
          </w:p>
        </w:tc>
      </w:tr>
      <w:tr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SCMTP</w:t>
            </w:r>
            <w:r>
              <w:rPr>
                <w:sz w:val="18"/>
              </w:rPr>
              <w:t xml:space="preserve"> (Minutas y Tareas)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3003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https://corpoelec-scmtp-corpoelec-ggpd-hosting-apps.vibehost.space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QA</w:t>
            </w:r>
          </w:p>
        </w:tc>
      </w:tr>
      <w:tr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SCPPE</w:t>
            </w:r>
            <w:r>
              <w:rPr>
                <w:sz w:val="18"/>
              </w:rPr>
              <w:t xml:space="preserve"> (Planificación Eléctrica SEN)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3004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https://corpoelec-scppe-corpoelec-ggpd-hosting-apps.vibehost.space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QA</w:t>
            </w:r>
          </w:p>
        </w:tc>
      </w:tr>
      <w:tr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SCEIN</w:t>
            </w:r>
            <w:r>
              <w:rPr>
                <w:sz w:val="18"/>
              </w:rPr>
              <w:t xml:space="preserve"> (Equipos Indisponibles)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3005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https://corpoelec-scein-corpoelec-ggpd-hosting-apps.vibehost.space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QA</w:t>
            </w:r>
          </w:p>
        </w:tc>
      </w:tr>
      <w:tr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SCGCC</w:t>
            </w:r>
            <w:r>
              <w:rPr>
                <w:sz w:val="18"/>
              </w:rPr>
              <w:t xml:space="preserve"> (Correspondencia Corporativa)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3006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https://corpoelec-scgcc-corpoelec-ggpd-hosting-apps.vibehost.space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QA</w:t>
            </w:r>
          </w:p>
        </w:tc>
      </w:tr>
      <w:tr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SIGAD</w:t>
            </w:r>
            <w:r>
              <w:rPr>
                <w:sz w:val="18"/>
              </w:rPr>
              <w:t xml:space="preserve"> (Activos de Distribución)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3007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https://corpoelec-sigad-corpoelec-ggpd-hosting-apps.vibehost.space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Integral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399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🟢 </w:t>
            </w:r>
            <w:r>
              <w:rPr>
                <w:b/>
                <w:sz w:val="18"/>
              </w:rPr>
              <w:t>Prioridad Nacional</w:t>
            </w:r>
            <w:r>
              <w:rPr>
                <w:sz w:val="18"/>
              </w:rPr>
              <w:t xml:space="preserve"> · reporte detallado</w:t>
            </w:r>
          </w:p>
        </w:tc>
      </w:tr>
      <w:tr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SIGA-SEN</w:t>
            </w:r>
            <w:r>
              <w:rPr>
                <w:sz w:val="18"/>
              </w:rPr>
              <w:t xml:space="preserve"> (Activos del SEN)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3008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https://corpoelec-siga-sen-corpoelec-ggpd-hosting-apps.vibehost.space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Integral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✅</w:t>
            </w:r>
          </w:p>
        </w:tc>
        <w:tc>
          <w:tcPr>
            <w:tcW w:type="dxa" w:w="1399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🟢 </w:t>
            </w:r>
            <w:r>
              <w:rPr>
                <w:b/>
                <w:sz w:val="18"/>
              </w:rPr>
              <w:t>Prioridad Nacional</w:t>
            </w:r>
            <w:r>
              <w:rPr>
                <w:sz w:val="18"/>
              </w:rPr>
              <w:t xml:space="preserve"> · reporte detallado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sz w:val="21"/>
        </w:rPr>
        <w:t>Verificación general:</w:t>
      </w:r>
      <w:r>
        <w:rPr>
          <w:sz w:val="21"/>
        </w:rPr>
        <w:t xml:space="preserve"> las </w:t>
      </w:r>
      <w:r>
        <w:rPr>
          <w:b/>
          <w:sz w:val="21"/>
        </w:rPr>
        <w:t>8 URLs responden HTTP 200</w:t>
      </w:r>
      <w:r>
        <w:rPr>
          <w:sz w:val="21"/>
        </w:rPr>
        <w:t xml:space="preserve"> con HTTPS y CSP presente (2026-10-12).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🔑 4. GESTIÓN DE CLAVES Y SECRETOS (COMÚN A LAS 8 APPS)</w:t>
      </w:r>
    </w:p>
    <w:p>
      <w:pPr>
        <w:pStyle w:val="ListBullet"/>
        <w:spacing w:after="60"/>
      </w:pPr>
      <w:r>
        <w:rPr>
          <w:b/>
          <w:sz w:val="21"/>
        </w:rPr>
        <w:t>Rotación de la API key principal</w:t>
      </w:r>
      <w:r>
        <w:rPr>
          <w:sz w:val="21"/>
        </w:rPr>
        <w:t xml:space="preserve"> de InsForge ejecutada el 12-10-2026 con </w:t>
      </w:r>
      <w:r>
        <w:rPr>
          <w:b/>
          <w:sz w:val="21"/>
        </w:rPr>
        <w:t>periodo de gracia de 72 horas</w:t>
      </w:r>
      <w:r>
        <w:rPr>
          <w:sz w:val="21"/>
        </w:rPr>
        <w:t xml:space="preserve"> (</w:t>
      </w:r>
      <w:r>
        <w:rPr>
          <w:rFonts w:ascii="Consolas" w:hAnsi="Consolas"/>
          <w:sz w:val="21"/>
        </w:rPr>
        <w:t>secrets rotate api-key --grace-hours 72</w:t>
      </w:r>
      <w:r>
        <w:rPr>
          <w:sz w:val="21"/>
        </w:rPr>
        <w:t>).</w:t>
      </w:r>
    </w:p>
    <w:p>
      <w:pPr>
        <w:pStyle w:val="ListBullet"/>
        <w:spacing w:after="60"/>
        <w:ind w:left="878"/>
      </w:pPr>
      <w:r>
        <w:rPr>
          <w:sz w:val="21"/>
        </w:rPr>
        <w:t>Clave nueva: activa.</w:t>
      </w:r>
    </w:p>
    <w:p>
      <w:pPr>
        <w:pStyle w:val="ListBullet"/>
        <w:spacing w:after="60"/>
        <w:ind w:left="878"/>
      </w:pPr>
      <w:r>
        <w:rPr>
          <w:sz w:val="21"/>
        </w:rPr>
        <w:t xml:space="preserve">Clave anterior: expira el </w:t>
      </w:r>
      <w:r>
        <w:rPr>
          <w:b/>
          <w:sz w:val="21"/>
        </w:rPr>
        <w:t>2026-10-15T22:01:33Z</w:t>
      </w:r>
      <w:r>
        <w:rPr>
          <w:sz w:val="21"/>
        </w:rPr>
        <w:t xml:space="preserve"> (superposición = cero caídas).</w:t>
      </w:r>
    </w:p>
    <w:p>
      <w:pPr>
        <w:pStyle w:val="ListBullet"/>
        <w:spacing w:after="60"/>
      </w:pPr>
      <w:r>
        <w:rPr>
          <w:b/>
          <w:sz w:val="21"/>
        </w:rPr>
        <w:t>Bundles sin clave de servicio:</w:t>
      </w:r>
      <w:r>
        <w:rPr>
          <w:sz w:val="21"/>
        </w:rPr>
        <w:t xml:space="preserve"> las apps de frontend recompiladas y redesplegadas </w:t>
      </w:r>
      <w:r>
        <w:rPr>
          <w:b/>
          <w:sz w:val="21"/>
        </w:rPr>
        <w:t>no contienen</w:t>
      </w:r>
      <w:r>
        <w:rPr>
          <w:sz w:val="21"/>
        </w:rPr>
        <w:t xml:space="preserve"> la clave </w:t>
      </w:r>
      <w:r>
        <w:rPr>
          <w:rFonts w:ascii="Consolas" w:hAnsi="Consolas"/>
          <w:sz w:val="21"/>
        </w:rPr>
        <w:t>project_admin</w:t>
      </w:r>
      <w:r>
        <w:rPr>
          <w:sz w:val="21"/>
        </w:rPr>
        <w:t xml:space="preserve"> (</w:t>
      </w:r>
      <w:r>
        <w:rPr>
          <w:rFonts w:ascii="Consolas" w:hAnsi="Consolas"/>
          <w:sz w:val="21"/>
        </w:rPr>
        <w:t>BYPASSRLS</w:t>
      </w:r>
      <w:r>
        <w:rPr>
          <w:sz w:val="21"/>
        </w:rPr>
        <w:t xml:space="preserve">) en </w:t>
      </w:r>
      <w:r>
        <w:rPr>
          <w:rFonts w:ascii="Consolas" w:hAnsi="Consolas"/>
          <w:sz w:val="21"/>
        </w:rPr>
        <w:t>dist/assets/*.js</w:t>
      </w:r>
      <w:r>
        <w:rPr>
          <w:sz w:val="21"/>
        </w:rPr>
        <w:t>; verificadas por inspección de bundle.</w:t>
      </w:r>
    </w:p>
    <w:p>
      <w:pPr>
        <w:pStyle w:val="ListBullet"/>
        <w:spacing w:after="60"/>
      </w:pPr>
      <w:r>
        <w:rPr>
          <w:b/>
          <w:sz w:val="21"/>
        </w:rPr>
        <w:t>Variables actualizadas:</w:t>
      </w:r>
      <w:r>
        <w:rPr>
          <w:sz w:val="21"/>
        </w:rPr>
        <w:t xml:space="preserve"> </w:t>
      </w:r>
      <w:r>
        <w:rPr>
          <w:rFonts w:ascii="Consolas" w:hAnsi="Consolas"/>
          <w:sz w:val="21"/>
        </w:rPr>
        <w:t>.insforge/project.json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.env.local</w:t>
      </w:r>
      <w:r>
        <w:rPr>
          <w:sz w:val="21"/>
        </w:rPr>
        <w:t xml:space="preserve"> (raíz), </w:t>
      </w:r>
      <w:r>
        <w:rPr>
          <w:rFonts w:ascii="Consolas" w:hAnsi="Consolas"/>
          <w:sz w:val="21"/>
        </w:rPr>
        <w:t>.env</w:t>
      </w:r>
      <w:r>
        <w:rPr>
          <w:sz w:val="21"/>
        </w:rPr>
        <w:t xml:space="preserve"> de cada app y </w:t>
      </w:r>
      <w:r>
        <w:rPr>
          <w:rFonts w:ascii="Consolas" w:hAnsi="Consolas"/>
          <w:sz w:val="21"/>
        </w:rPr>
        <w:t>SCTIS-REF/interrupciones/.env</w:t>
      </w:r>
      <w:r>
        <w:rPr>
          <w:sz w:val="21"/>
        </w:rPr>
        <w:t xml:space="preserve"> (backend Python).</w:t>
      </w:r>
    </w:p>
    <w:p>
      <w:pPr>
        <w:pStyle w:val="ListBullet"/>
        <w:spacing w:after="60"/>
      </w:pPr>
      <w:r>
        <w:rPr>
          <w:b/>
          <w:sz w:val="21"/>
        </w:rPr>
        <w:t>Claves gitignored:</w:t>
      </w:r>
      <w:r>
        <w:rPr>
          <w:sz w:val="21"/>
        </w:rPr>
        <w:t xml:space="preserve"> ningún </w:t>
      </w:r>
      <w:r>
        <w:rPr>
          <w:rFonts w:ascii="Consolas" w:hAnsi="Consolas"/>
          <w:sz w:val="21"/>
        </w:rPr>
        <w:t>.env</w:t>
      </w:r>
      <w:r>
        <w:rPr>
          <w:sz w:val="21"/>
        </w:rPr>
        <w:t xml:space="preserve"> ni </w:t>
      </w:r>
      <w:r>
        <w:rPr>
          <w:rFonts w:ascii="Consolas" w:hAnsi="Consolas"/>
          <w:sz w:val="21"/>
        </w:rPr>
        <w:t>project.json</w:t>
      </w:r>
      <w:r>
        <w:rPr>
          <w:sz w:val="21"/>
        </w:rPr>
        <w:t xml:space="preserve"> se versiona; solo </w:t>
      </w:r>
      <w:r>
        <w:rPr>
          <w:rFonts w:ascii="Consolas" w:hAnsi="Consolas"/>
          <w:sz w:val="21"/>
        </w:rPr>
        <w:t>handoff.md</w:t>
      </w:r>
      <w:r>
        <w:rPr>
          <w:sz w:val="21"/>
        </w:rPr>
        <w:t xml:space="preserve"> documenta el historial.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⚠️ 5. HALLAZGOS PENDIENTES Y ACCIONES CORRECTIVAS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5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5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Hallazgo</w:t>
            </w:r>
          </w:p>
        </w:tc>
        <w:tc>
          <w:tcPr>
            <w:tcW w:type="dxa" w:w="195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Severidad</w:t>
            </w:r>
          </w:p>
        </w:tc>
        <w:tc>
          <w:tcPr>
            <w:tcW w:type="dxa" w:w="195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958"/>
            <w:shd w:val="clear" w:color="auto" w:fill="002B49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Responsable / Plazo</w:t>
            </w:r>
          </w:p>
        </w:tc>
      </w:tr>
      <w:tr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:---: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:---</w:t>
            </w:r>
          </w:p>
        </w:tc>
      </w:tr>
      <w:tr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H1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Backend Python de SCTIS</w:t>
            </w:r>
            <w:r>
              <w:rPr>
                <w:sz w:val="18"/>
              </w:rPr>
              <w:t xml:space="preserve"> debe apuntar a la clave nueva de InsForge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ALTA</w:t>
            </w:r>
            <w:r>
              <w:rPr>
                <w:sz w:val="18"/>
              </w:rPr>
              <w:t xml:space="preserve"> (si corre fuera de VibeHost)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Actualizar credencial antes de la expiración de la clave anterior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Equipo TI / </w:t>
            </w:r>
            <w:r>
              <w:rPr>
                <w:b/>
                <w:sz w:val="18"/>
              </w:rPr>
              <w:t>antes del 2026-10-15T22:01Z</w:t>
            </w:r>
          </w:p>
        </w:tc>
      </w:tr>
      <w:tr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H2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Las 6 apps en QA no tienen aún blindaje integral (IAM central + RLS + CSP)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MEDIA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Secuencia: elevación de SIGAD/SIGA-SEN como patrón de referencia y replicación por app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GGPD (próximas fases)</w:t>
            </w:r>
          </w:p>
        </w:tc>
      </w:tr>
      <w:tr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H3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PAT GitHub (</w:t>
            </w:r>
            <w:r>
              <w:rPr>
                <w:rFonts w:ascii="Consolas" w:hAnsi="Consolas"/>
                <w:sz w:val="18"/>
              </w:rPr>
              <w:t>GITHUB_TOKEN_PERSONAL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GITHUB_TOKEN_INNOVACION</w:t>
            </w:r>
            <w:r>
              <w:rPr>
                <w:sz w:val="18"/>
              </w:rPr>
              <w:t>) expuestos en registro de sesión por fallo de máscara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Revocar y regenerar con scope </w:t>
            </w:r>
            <w:r>
              <w:rPr>
                <w:rFonts w:ascii="Consolas" w:hAnsi="Consolas"/>
                <w:sz w:val="18"/>
              </w:rPr>
              <w:t>repo</w:t>
            </w:r>
            <w:r>
              <w:rPr>
                <w:sz w:val="18"/>
              </w:rPr>
              <w:t xml:space="preserve">; actualizar </w:t>
            </w:r>
            <w:r>
              <w:rPr>
                <w:rFonts w:ascii="Consolas" w:hAnsi="Consolas"/>
                <w:sz w:val="18"/>
              </w:rPr>
              <w:t>.env.local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Usuario titular</w:t>
            </w:r>
          </w:p>
        </w:tc>
      </w:tr>
      <w:tr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H4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 xml:space="preserve">Clave muerta residual en </w:t>
            </w:r>
            <w:r>
              <w:rPr>
                <w:rFonts w:ascii="Consolas" w:hAnsi="Consolas"/>
                <w:sz w:val="18"/>
              </w:rPr>
              <w:t>opencode.json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BAJA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Depurar (gitignored)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GGPD</w:t>
            </w:r>
          </w:p>
        </w:tc>
      </w:tr>
      <w:tr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H5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Sesión de cliente sin JWT por sesión (las 8 apps)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MEDIA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Integración InsForge Auth + RLS por claim (patrón SIGAD/SIGA-SEN)</w:t>
            </w:r>
          </w:p>
        </w:tc>
        <w:tc>
          <w:tcPr>
            <w:tcW w:type="dxa" w:w="1958"/>
            <w:shd w:val="clear" w:color="auto" w:fill="F8FAFC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GGPD (roadmap)</w:t>
            </w:r>
          </w:p>
        </w:tc>
      </w:tr>
      <w:tr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H6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Cabeceras anti-embebido (</w:t>
            </w:r>
            <w:r>
              <w:rPr>
                <w:rFonts w:ascii="Consolas" w:hAnsi="Consolas"/>
                <w:sz w:val="18"/>
              </w:rPr>
              <w:t>X-Frame-Options</w:t>
            </w:r>
            <w:r>
              <w:rPr>
                <w:sz w:val="18"/>
              </w:rPr>
              <w:t>, HSTS) a nivel hosting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BAJA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Solicitar configuración en VibeHost</w:t>
            </w:r>
          </w:p>
        </w:tc>
        <w:tc>
          <w:tcPr>
            <w:tcW w:type="dxa" w:w="1958"/>
            <w:shd w:val="clear" w:color="auto"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sz w:val="18"/>
              </w:rPr>
              <w:t>GGPD + Hosting</w:t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🗺️ 6. HOJA DE RUTA DE ELEVACIÓN DE LAS 8 APPS</w:t>
      </w:r>
    </w:p>
    <w:p>
      <w:pPr>
        <w:spacing w:after="120"/>
      </w:pPr>
      <w:r>
        <w:rPr>
          <w:sz w:val="21"/>
        </w:rPr>
        <w:t xml:space="preserve">1. </w:t>
      </w:r>
      <w:r>
        <w:rPr>
          <w:b/>
          <w:sz w:val="21"/>
        </w:rPr>
        <w:t>Fase 1 — Consolidar (completada):</w:t>
      </w:r>
      <w:r>
        <w:rPr>
          <w:sz w:val="21"/>
        </w:rPr>
        <w:t xml:space="preserve"> rotación de clave + bundles sin clave de servicio + inventario de rutas (V02).</w:t>
      </w:r>
    </w:p>
    <w:p>
      <w:pPr>
        <w:spacing w:after="120"/>
      </w:pPr>
      <w:r>
        <w:rPr>
          <w:sz w:val="21"/>
        </w:rPr>
        <w:t xml:space="preserve">2. </w:t>
      </w:r>
      <w:r>
        <w:rPr>
          <w:b/>
          <w:sz w:val="21"/>
        </w:rPr>
        <w:t>Fase 2 — Referencia (realizada para 2):</w:t>
      </w:r>
      <w:r>
        <w:rPr>
          <w:sz w:val="21"/>
        </w:rPr>
        <w:t xml:space="preserve"> blindaje integral de SIGAD y SIGA-SEN (IAM central, RLS, CSP, sesión segura) — </w:t>
      </w:r>
      <w:r>
        <w:rPr>
          <w:b/>
          <w:sz w:val="21"/>
        </w:rPr>
        <w:t>patrón de oro</w:t>
      </w:r>
      <w:r>
        <w:rPr>
          <w:sz w:val="21"/>
        </w:rPr>
        <w:t xml:space="preserve"> para el resto.</w:t>
      </w:r>
    </w:p>
    <w:p>
      <w:pPr>
        <w:spacing w:after="120"/>
      </w:pPr>
      <w:r>
        <w:rPr>
          <w:sz w:val="21"/>
        </w:rPr>
        <w:t xml:space="preserve">3. </w:t>
      </w:r>
      <w:r>
        <w:rPr>
          <w:b/>
          <w:sz w:val="21"/>
        </w:rPr>
        <w:t>Fase 3 — Replicar (en curso de planificación):</w:t>
      </w:r>
      <w:r>
        <w:rPr>
          <w:sz w:val="21"/>
        </w:rPr>
        <w:t xml:space="preserve"> llevar el patrón a las 6 apps en QA (SIGI, SCTIS, SCMTP, SCPPE, SCEIN, SCGCC), respetando la gobernanza </w:t>
      </w:r>
      <w:r>
        <w:rPr>
          <w:rFonts w:ascii="Consolas" w:hAnsi="Consolas"/>
          <w:sz w:val="21"/>
        </w:rPr>
        <w:t>DOC-GGPD-2026-GOB-001</w:t>
      </w:r>
      <w:r>
        <w:rPr>
          <w:sz w:val="21"/>
        </w:rPr>
        <w:t xml:space="preserve"> (flujo desacoplado </w:t>
      </w:r>
      <w:r>
        <w:rPr>
          <w:rFonts w:ascii="Consolas" w:hAnsi="Consolas"/>
          <w:sz w:val="21"/>
        </w:rPr>
        <w:t>SIGI ➔ SCMTP ➔ SCGCC</w:t>
      </w:r>
      <w:r>
        <w:rPr>
          <w:sz w:val="21"/>
        </w:rPr>
        <w:t>, prohibición de "Super-App").</w:t>
      </w:r>
    </w:p>
    <w:p>
      <w:pPr>
        <w:spacing w:after="120"/>
      </w:pPr>
      <w:r>
        <w:rPr>
          <w:sz w:val="21"/>
        </w:rPr>
        <w:t xml:space="preserve">4. </w:t>
      </w:r>
      <w:r>
        <w:rPr>
          <w:b/>
          <w:sz w:val="21"/>
        </w:rPr>
        <w:t>Fase 4 — Pentest independiente:</w:t>
      </w:r>
      <w:r>
        <w:rPr>
          <w:sz w:val="21"/>
        </w:rPr>
        <w:t xml:space="preserve"> bajo protocolo formal (ver reporte SIGAD/SIGA-SEN §9) una vez consolidadas las fases 2–3.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2B49"/>
          <w:sz w:val="26"/>
        </w:rPr>
        <w:t>📖 7. GLOSARIO</w:t>
      </w:r>
    </w:p>
    <w:p>
      <w:pPr>
        <w:pStyle w:val="ListBullet"/>
        <w:spacing w:after="60"/>
      </w:pPr>
      <w:r>
        <w:rPr>
          <w:b/>
          <w:sz w:val="21"/>
        </w:rPr>
        <w:t>Bundle:</w:t>
      </w:r>
      <w:r>
        <w:rPr>
          <w:sz w:val="21"/>
        </w:rPr>
        <w:t xml:space="preserve"> conjunto de archivos JavaScript/HTML que el navegador descarga al abrir la aplicación.</w:t>
      </w:r>
    </w:p>
    <w:p>
      <w:pPr>
        <w:pStyle w:val="ListBullet"/>
        <w:spacing w:after="60"/>
      </w:pPr>
      <w:r>
        <w:rPr>
          <w:b/>
          <w:sz w:val="21"/>
        </w:rPr>
        <w:t>Clave de servicio (`project_admin`):</w:t>
      </w:r>
      <w:r>
        <w:rPr>
          <w:sz w:val="21"/>
        </w:rPr>
        <w:t xml:space="preserve"> credencial con privilegio </w:t>
      </w:r>
      <w:r>
        <w:rPr>
          <w:rFonts w:ascii="Consolas" w:hAnsi="Consolas"/>
          <w:sz w:val="21"/>
        </w:rPr>
        <w:t>BYPASSRLS</w:t>
      </w:r>
      <w:r>
        <w:rPr>
          <w:sz w:val="21"/>
        </w:rPr>
        <w:t>; su presencia en el bundle expondría la base de datos a la vista del público.</w:t>
      </w:r>
    </w:p>
    <w:p>
      <w:pPr>
        <w:pStyle w:val="ListBullet"/>
        <w:spacing w:after="60"/>
      </w:pPr>
      <w:r>
        <w:rPr>
          <w:b/>
          <w:sz w:val="21"/>
        </w:rPr>
        <w:t>Fase QA:</w:t>
      </w:r>
      <w:r>
        <w:rPr>
          <w:sz w:val="21"/>
        </w:rPr>
        <w:t xml:space="preserve"> aplicación en aseguramiento de calidad (funcional y de seguridad) previo a declararse operativa.</w:t>
      </w:r>
    </w:p>
    <w:p>
      <w:pPr>
        <w:pStyle w:val="ListBullet"/>
        <w:spacing w:after="60"/>
      </w:pPr>
      <w:r>
        <w:rPr>
          <w:b/>
          <w:sz w:val="21"/>
        </w:rPr>
        <w:t>Rotación de clave con gracia:</w:t>
      </w:r>
      <w:r>
        <w:rPr>
          <w:sz w:val="21"/>
        </w:rPr>
        <w:t xml:space="preserve"> se emite una clave nueva sin desactivar la anterior durante un plazo (aquí 72 h) para evitar caídas de servicio.</w:t>
      </w:r>
    </w:p>
    <w:p>
      <w:pPr>
        <w:spacing w:after="120"/>
      </w:pPr>
      <w:r>
        <w:rPr>
          <w:i/>
          <w:sz w:val="21"/>
        </w:rPr>
        <w:t>Fin del documento — NAC_2026_GGPD_REPORTE_SEGURIDAD_8_APLICACIONES_V01 · Rev. 0 · 2026-10-12 · GGPD.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