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3366"/>
          <w:sz w:val="40"/>
        </w:rPr>
        <w:t>INFORME TÉCNICO Y AUDITORÍA DE CALIDAD DE DATOS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Diagnóstico Integral de Archivos Estadales de Interrupciones (Tiras del SEN), Cuello de Botellas en Origen, Arquitectura del Escudo de Ingesta SCTIS v2.0 y Análisis de Eficiencia Operativa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REPÚBLICA BOLIVARIANA DE VENEZUELA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MINISTERIO DEL PODER POPULAR PARA LA ENERGÍA ELÉCTRICA (MPPEE)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CORPORACIÓN ELÉCTRICA NACIONAL, S.A. (CORPOELEC)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GERENCIA GENERAL DE PLANIFICACIÓN DE DISTRIBUCIÓN (GGPD)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Código del Documento:</w:t>
      </w:r>
      <w:r>
        <w:rPr>
          <w:rFonts w:ascii="Calibri" w:hAnsi="Calibri"/>
          <w:color w:val="1E293B"/>
          <w:sz w:val="22"/>
        </w:rPr>
        <w:t xml:space="preserve"> `INF-GGPD-SCTIS-2026-009-V1`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Referencia Institucional:</w:t>
      </w:r>
      <w:r>
        <w:rPr>
          <w:rFonts w:ascii="Calibri" w:hAnsi="Calibri"/>
          <w:color w:val="1E293B"/>
          <w:sz w:val="22"/>
        </w:rPr>
        <w:t xml:space="preserve"> `NAC_2026_GGPD_AUDITORIA_DATA_INTERRUPCIONES_ESTADALES_SCTIS_V01`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Unidad Emisora:</w:t>
      </w:r>
      <w:r>
        <w:rPr>
          <w:rFonts w:ascii="Calibri" w:hAnsi="Calibri"/>
          <w:color w:val="1E293B"/>
          <w:sz w:val="22"/>
        </w:rPr>
        <w:t xml:space="preserve"> Equipo de Automatización e Ingeniería de Productos con IA, de Planificación de Distribución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Autores / Especialistas:</w:t>
      </w:r>
      <w:r>
        <w:rPr>
          <w:rFonts w:ascii="Calibri" w:hAnsi="Calibri"/>
          <w:color w:val="1E293B"/>
          <w:sz w:val="22"/>
        </w:rPr>
        <w:t xml:space="preserve"> Yván M. Cipiran N. | T.S.U. Josué Pacheco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Destinatarios:</w:t>
      </w:r>
      <w:r>
        <w:rPr>
          <w:rFonts w:ascii="Calibri" w:hAnsi="Calibri"/>
          <w:color w:val="1E293B"/>
          <w:sz w:val="22"/>
        </w:rPr>
        <w:t xml:space="preserve"> Dirección Ejecutiva GGPD / Gerencias Regionales de Distribución / Coordinaciones de Centro de Operaciones y Despacho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Fecha de Emisión:</w:t>
      </w:r>
      <w:r>
        <w:rPr>
          <w:rFonts w:ascii="Calibri" w:hAnsi="Calibri"/>
          <w:color w:val="1E293B"/>
          <w:sz w:val="22"/>
        </w:rPr>
        <w:t xml:space="preserve"> Agosto de 2026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Normativa y Estándares:</w:t>
      </w:r>
      <w:r>
        <w:rPr>
          <w:rFonts w:ascii="Calibri" w:hAnsi="Calibri"/>
          <w:color w:val="1E293B"/>
          <w:sz w:val="22"/>
        </w:rPr>
        <w:t xml:space="preserve"> ISO 8000-110, ISO 9001:2015, ISO 55000/55001, ISO/IEC 27001:2022, ISACA COBIT 2019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1. RESUMEN EJECUTIVO Y DECLARACIÓN DE IMPACTO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El presente informe expone los resultados de la </w:t>
      </w:r>
      <w:r>
        <w:rPr>
          <w:rFonts w:ascii="Calibri" w:hAnsi="Calibri"/>
          <w:b/>
          <w:color w:val="1E293B"/>
          <w:sz w:val="22"/>
        </w:rPr>
        <w:t>auditoría técnica y diagnóstica exhaustiva</w:t>
      </w:r>
      <w:r>
        <w:rPr>
          <w:rFonts w:ascii="Calibri" w:hAnsi="Calibri"/>
          <w:color w:val="1E293B"/>
          <w:sz w:val="22"/>
        </w:rPr>
        <w:t xml:space="preserve"> realizada sobre los archivos mensuales de interrupciones de distribución eléctrica provenientes de los </w:t>
      </w:r>
      <w:r>
        <w:rPr>
          <w:rFonts w:ascii="Calibri" w:hAnsi="Calibri"/>
          <w:b/>
          <w:color w:val="1E293B"/>
          <w:sz w:val="22"/>
        </w:rPr>
        <w:t>25 estados y dependencias operativas del Sistema Eléctrico Nacional (SEN)</w:t>
      </w:r>
      <w:r>
        <w:rPr>
          <w:rFonts w:ascii="Calibri" w:hAnsi="Calibri"/>
          <w:color w:val="1E293B"/>
          <w:sz w:val="22"/>
        </w:rPr>
        <w:t>, resguardados para evaluación en el entorno de aseguramiento de calidad (`/carga_qa`).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Históricamente, la recopilación y consolidación de las *Tiras de Interrupción* ha representado uno de los mayores desafíos operacionales para la </w:t>
      </w:r>
      <w:r>
        <w:rPr>
          <w:rFonts w:ascii="Calibri" w:hAnsi="Calibri"/>
          <w:b/>
          <w:color w:val="1E293B"/>
          <w:sz w:val="22"/>
        </w:rPr>
        <w:t>Gerencia General de Planificación de Distribución (GGPD)</w:t>
      </w:r>
      <w:r>
        <w:rPr>
          <w:rFonts w:ascii="Calibri" w:hAnsi="Calibri"/>
          <w:color w:val="1E293B"/>
          <w:sz w:val="22"/>
        </w:rPr>
        <w:t xml:space="preserve">. La heterogeneidad de fuentes en los Centros de Operaciones de Distribución (COD) y Despachos Estadales —que abarca desde reportes legados de Crystal Reports y bases de datos Microsoft Access hasta libros binarios de Excel 97-2003 (.xls) y formatos multi-hoja— generaba retrasos de entre </w:t>
      </w:r>
      <w:r>
        <w:rPr>
          <w:rFonts w:ascii="Calibri" w:hAnsi="Calibri"/>
          <w:b/>
          <w:color w:val="1E293B"/>
          <w:sz w:val="22"/>
        </w:rPr>
        <w:t>15 y 20 días hábiles</w:t>
      </w:r>
      <w:r>
        <w:rPr>
          <w:rFonts w:ascii="Calibri" w:hAnsi="Calibri"/>
          <w:color w:val="1E293B"/>
          <w:sz w:val="22"/>
        </w:rPr>
        <w:t xml:space="preserve"> tras el cierre de cada mes, consumiendo entre </w:t>
      </w:r>
      <w:r>
        <w:rPr>
          <w:rFonts w:ascii="Calibri" w:hAnsi="Calibri"/>
          <w:b/>
          <w:color w:val="1E293B"/>
          <w:sz w:val="22"/>
        </w:rPr>
        <w:t>100 y 200 horas-hombre mensuales</w:t>
      </w:r>
      <w:r>
        <w:rPr>
          <w:rFonts w:ascii="Calibri" w:hAnsi="Calibri"/>
          <w:color w:val="1E293B"/>
          <w:sz w:val="22"/>
        </w:rPr>
        <w:t xml:space="preserve"> en tareas manuales de limpieza, rescate sintáctico y homologación de celdas.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A través del desarrollo e implementación del </w:t>
      </w:r>
      <w:r>
        <w:rPr>
          <w:rFonts w:ascii="Calibri" w:hAnsi="Calibri"/>
          <w:b/>
          <w:color w:val="1E293B"/>
          <w:sz w:val="22"/>
        </w:rPr>
        <w:t>Escudo de Ingesta Inteligente de SCTIS v2.0</w:t>
      </w:r>
      <w:r>
        <w:rPr>
          <w:rFonts w:ascii="Calibri" w:hAnsi="Calibri"/>
          <w:color w:val="1E293B"/>
          <w:sz w:val="22"/>
        </w:rPr>
        <w:t>, se ha logrado: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Compatibilidad Operativa Total (100% de Éxito):</w:t>
      </w:r>
      <w:r>
        <w:rPr>
          <w:rFonts w:ascii="Calibri" w:hAnsi="Calibri"/>
          <w:color w:val="1E293B"/>
          <w:sz w:val="22"/>
        </w:rPr>
        <w:t xml:space="preserve"> Los 25 archivos estadales fueron procesados, saneados y normalizados satisfactoriamente sin una sola falla de procesamiento ni bloqueo de servidor.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Reducción del Tiempo de Ingesta en un 99.9%:</w:t>
      </w:r>
      <w:r>
        <w:rPr>
          <w:rFonts w:ascii="Calibri" w:hAnsi="Calibri"/>
          <w:color w:val="1E293B"/>
          <w:sz w:val="22"/>
        </w:rPr>
        <w:t xml:space="preserve"> El tiempo de procesamiento por archivo se redujo de </w:t>
      </w:r>
      <w:r>
        <w:rPr>
          <w:rFonts w:ascii="Calibri" w:hAnsi="Calibri"/>
          <w:b/>
          <w:color w:val="1E293B"/>
          <w:sz w:val="22"/>
        </w:rPr>
        <w:t>4 a 8 horas de esfuerzo manual a menos de 2.0 segundos</w:t>
      </w:r>
      <w:r>
        <w:rPr>
          <w:rFonts w:ascii="Calibri" w:hAnsi="Calibri"/>
          <w:color w:val="1E293B"/>
          <w:sz w:val="22"/>
        </w:rPr>
        <w:t xml:space="preserve"> de ejecución computacional automatizada.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Erradicación de Inconsistencias Sintácticas y Semánticas:</w:t>
      </w:r>
      <w:r>
        <w:rPr>
          <w:rFonts w:ascii="Calibri" w:hAnsi="Calibri"/>
          <w:color w:val="1E293B"/>
          <w:sz w:val="22"/>
        </w:rPr>
        <w:t xml:space="preserve"> Detección y corrección automática de marcas de tiempo corruptas con comas (`'08,:54:00,'` -&gt; `'08:54:00'`), soporte para membretes de hasta 14 filas, lectura *in-memory* de libros pesados (10.1 MB en Zulia procesados en 3.7s) y homologación estricta de más de un centenar de causas libres hacia las </w:t>
      </w:r>
      <w:r>
        <w:rPr>
          <w:rFonts w:ascii="Calibri" w:hAnsi="Calibri"/>
          <w:b/>
          <w:color w:val="1E293B"/>
          <w:sz w:val="22"/>
        </w:rPr>
        <w:t>16 causas oficiales del SEN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4. </w:t>
      </w:r>
      <w:r>
        <w:rPr>
          <w:rFonts w:ascii="Calibri" w:hAnsi="Calibri"/>
          <w:b/>
          <w:color w:val="1E293B"/>
          <w:sz w:val="22"/>
        </w:rPr>
        <w:t>Liberación de Talento Técnico:</w:t>
      </w:r>
      <w:r>
        <w:rPr>
          <w:rFonts w:ascii="Calibri" w:hAnsi="Calibri"/>
          <w:color w:val="1E293B"/>
          <w:sz w:val="22"/>
        </w:rPr>
        <w:t xml:space="preserve"> Ahorro directo de hasta </w:t>
      </w:r>
      <w:r>
        <w:rPr>
          <w:rFonts w:ascii="Calibri" w:hAnsi="Calibri"/>
          <w:b/>
          <w:color w:val="1E293B"/>
          <w:sz w:val="22"/>
        </w:rPr>
        <w:t>2,400 horas-hombre anuales</w:t>
      </w:r>
      <w:r>
        <w:rPr>
          <w:rFonts w:ascii="Calibri" w:hAnsi="Calibri"/>
          <w:color w:val="1E293B"/>
          <w:sz w:val="22"/>
        </w:rPr>
        <w:t>, permitiendo que el personal de ingeniería se enfoque en el análisis de confiabilidad del SEN (índices SAIDI, SAIFI, ENS en MWh) y en la planificación preventiva de redes.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2. MARCO NORMATIVO Y CUMPLIMIENTO DE ESTÁNDARES INTERNACIONALES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El diseño e implementación del módulo de carga y normalización de SCTIS v2.0 se fundamenta en un riguroso marco de gobernanza técnica: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+---------------------------------------------------------------------------------------+</w:t>
              <w:br/>
              <w:t>|                       MARCO DE GOBERNANZA TÉCNICA GGPD                                |</w:t>
              <w:br/>
              <w:t>+---------------------------------------------------------------------------------------+</w:t>
              <w:br/>
              <w:t>|  ISO 8000-110:2021       |  Calidad sintáctica y semántica de datos maestros (MDM).   |</w:t>
              <w:br/>
              <w:t>|  ISO 9001:2015           |  Estandarización y repetibilidad en procesos de gestión.   |</w:t>
              <w:br/>
              <w:t>|  ISO 55000 / 55001:2014  |  Trazabilidad y gestión del ciclo de vida de activos SE/CT.|</w:t>
              <w:br/>
              <w:t>|  ISO/IEC 27001:2022      |  Seguridad de información, RLS y autenticación federada.   |</w:t>
              <w:br/>
              <w:t>|  ISACA COBIT 2019        |  Auditoría, control interno y trazabilidad de cambios.     |</w:t>
              <w:br/>
              <w:t>+---------------------------------------------------------------------------------------+</w:t>
            </w:r>
          </w:p>
        </w:tc>
      </w:tr>
    </w:tbl>
    <w:p/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ISO 8000-110 (Calidad de Datos Maestros):</w:t>
      </w:r>
      <w:r>
        <w:rPr>
          <w:rFonts w:ascii="Calibri" w:hAnsi="Calibri"/>
          <w:color w:val="1E293B"/>
          <w:sz w:val="22"/>
        </w:rPr>
        <w:t xml:space="preserve"> Establece los requisitos de conformidad de datos respecto a su estructura, tipos de datos formales, codificación y exactitud. El motor de SCTIS v2.0 actúa como un filtro determinista que garantiza que ningún dato incompleto o con formato corrupto ingrese a los esquemas maestros de base de datos.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ISO 55000 / 55001 (Gestión de Activos Eléctricos):</w:t>
      </w:r>
      <w:r>
        <w:rPr>
          <w:rFonts w:ascii="Calibri" w:hAnsi="Calibri"/>
          <w:color w:val="1E293B"/>
          <w:sz w:val="22"/>
        </w:rPr>
        <w:t xml:space="preserve"> Garantiza que cada interrupción esté asociada de forma inequívoca a un activo físico validado en el catálogo central (`common.assets`, con 838 Subestaciones y 4,311 Circuitos), controlando las desviaciones mediante el diccionario de alias (`sctis.asset_alias`).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ISACA COBIT 2019 (Dominio MEA02 - Monitorización del Control Interno):</w:t>
      </w:r>
      <w:r>
        <w:rPr>
          <w:rFonts w:ascii="Calibri" w:hAnsi="Calibri"/>
          <w:color w:val="1E293B"/>
          <w:sz w:val="22"/>
        </w:rPr>
        <w:t xml:space="preserve"> Cada carga genera un registro inmutable en `audit.submissions` con trazabilidad completa de usuario emisor, fecha, nombre de archivo original, cantidad de registros aceptados y rechazados.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3. DIAGNÓSTICO CRÍTICO DEL ECOSISTEMA DE DATOS EN ORIGEN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3.1. La Realidad del Terreno y la Fragmentación Tecnológica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El análisis de los 25 archivos estadales reveló que los Despachos Regionales no operan bajo una plataforma tecnológica homogénea. Coexisten cuatro generaciones tecnológicas de software y metodologías de registro: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[Despachos Regionales / Fuentes]</w:t>
              <w:br/>
              <w:t xml:space="preserve">       |</w:t>
              <w:br/>
              <w:t xml:space="preserve">       +---&gt; Monagas: Exportación Crystal Reports (.rpt / .xls) -&gt; 14 filas de membrete</w:t>
              <w:br/>
              <w:t xml:space="preserve">       |</w:t>
              <w:br/>
              <w:t xml:space="preserve">       +---&gt; Zulia, Aragua, Táchira: Dumps binarios Excel 97-2003 (.xls) -&gt; 3.5 a 10.1 MB</w:t>
              <w:br/>
              <w:t xml:space="preserve">       |</w:t>
              <w:br/>
              <w:t xml:space="preserve">       +---&gt; Lara: Libros Multi-Pestaña -&gt; Hoja 'DISTRIBUCION' + Hoja 'RESUMEN'</w:t>
              <w:br/>
              <w:t xml:space="preserve">       |</w:t>
              <w:br/>
              <w:t xml:space="preserve">       +---&gt; Distrito Capital, Guárico, Amazonas: Archivos .xlsx modernos -&gt; Cabeceras variables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3.2. Las 4 Debilidades Estructurales Identificadas en Origen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Ausencia de Validación Sintáctica en el Punto de Captura (Violación ISO 8000-110):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*Caso Crítico Monagas (`MONAGAS26.xls`):* La herramienta exportadora inserta comas espurias en los campos de tiempo (`08,:54:00,`, `18:00,:00,`, `00,:10:00,`). En sistemas convencionales, esta anomalía aborta el proceso de ingestión con un error de conversión (`ValueError: invalid literal`).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*Formatos Horarios Mixtos:* Coexistencia en un mismo libro de horas en formato 12h con sufijos (`03:20 p.m.`), horas en formato 24h (`15:20:00`), fracciones decimales de día de Excel (`0.638888`) y objetos datetime serializados.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Membretes Decorativos y Desplazamiento Arbitrario de Cabeceras: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La mayoría de los reportes no inician la matriz de datos en la Fila 1. Poseen logotipos textuales, títulos institucionales, parámetros de filtros y fechas de emisión que abarcan entre 3 y 14 filas en blanco o decorativas.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En Distrito Capital (`CAPITAL26.xlsx`), los encabezados inician en la Fila 3; en Monagas, en la Fila 15.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Dispersión Semántica en la Tipificación de Causas: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Cada operador tipifica la causa de la interrupción con descripciones narrativas libres (ej. `"OBJETO EXTRAÑO (GLOBO DE LOS DESEOS) ENTRE LÍNEA Y CRUCETA"`, `"INTERFERENCIA EN LA RED"`, `"PRECIPITACIONES FUERTES"`).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Esta falta de estandarización impide la generación de analítica macro y dashboards de confiabilidad si no se cuenta con un motor de homologación semántica que clasifique el texto libre en una de las 16 causas normadas.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4. </w:t>
      </w:r>
      <w:r>
        <w:rPr>
          <w:rFonts w:ascii="Calibri" w:hAnsi="Calibri"/>
          <w:b/>
          <w:color w:val="1E293B"/>
          <w:sz w:val="22"/>
        </w:rPr>
        <w:t>Falta de un Master Data Management (MDM) Centralizado de Activos: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Los nombres de subestaciones y circuitos se escriben con múltiples variaciones ortográficas, omisión de códigos de nivel de tensión o inclusión de números de posición (ej. `13-PEDAGOGICO 13.8 (D1305)` vs `PEDAGOGICO` vs `D1305`).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4. MATRIZ DETALLADA DE AUDITORÍA Y BENCHMARK TÉCNICO (25 ESTADOS)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A continuación se presentan los resultados certificados de la prueba de carga y análisis de los 25 archivos en el entorno de pruebas SCTIS v2.0: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Estado / Región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Archivo Evaluado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Hojas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Filas Extraídas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Formato Asignado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Tiempo Parseo</w:t>
            </w:r>
          </w:p>
        </w:tc>
        <w:tc>
          <w:tcPr>
            <w:tcW w:type="dxa" w:w="10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Estatus de Calidad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Amazonas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`AMAZONAS26.xlsx`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265 KB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523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Amazonas (Distribución)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2.11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Anzoátegui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`ANZOATEGUI26.xlsx`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1.4 MB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2,499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2.00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3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Apure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`APURE26.xls`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1.1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2,490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0.93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4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Aragua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`ARAGUA26.xls`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3.5 MB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2,497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2.06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5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Barinas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`BARINAS26.xls`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1.8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2,489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1.17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6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Bolívar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`BOLIVAR26.xlsx`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982 KB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2,489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1.55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7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Distrito Capital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`CAPITAL26.xlsx`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609 KB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1,591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Detección Automática (Fila 3)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1.86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8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Carabobo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`CARABOBO26.xls`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1.9 MB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2,499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1.65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9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Cojedes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`COJEDES26.xlsx`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396 KB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1,728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1.29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10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Falcón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`FALCON26.xls`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1.5 MB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1,682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0.89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Guárico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`GUARICO26.xlsx`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642 KB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2,489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1.33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12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Lara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`LARA26.xlsx`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543 KB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850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(`DISTRIBUCION`)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5.90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13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La Guaira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`LGUA26.xls`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562 KB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554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1.99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14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Mérida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`MERIDA26.xls`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626 KB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1,642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0.79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15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Miranda (Guarenas)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`MIRANDAGUARENAS26.xls`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287 KB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243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1.42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16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Miranda (Altos Mir.)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`MIRANDALTQ26.xls`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357 KB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330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1.71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17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Miranda (Valles Tuy)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`MIRANDATUY26.XLS`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2.6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2,499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2.25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18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Monagas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`MONAGAS26.xls`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962 KB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Monagas (Crystal Reports)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1.24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19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Nueva Esparta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`NUEVA_ESP26.xls`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1.9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2,498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1.50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20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Portuguesa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`PORTUGUESA26.xls`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1.3 MB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2,489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1.07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Sucre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`SUCRE26.xls`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1.9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2,489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1.76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22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Táchira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`TACHIRA26.xls`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4.1 MB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2,489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1.97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23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Trujillo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`TRUJILLO26.xls`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1.2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2,123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1.14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24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Yaracuy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`YARACUY26.xlsx`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438 KB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1,283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1.32 s</w:t>
            </w:r>
          </w:p>
        </w:tc>
        <w:tc>
          <w:tcPr>
            <w:tcW w:type="dxa" w:w="10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  <w:tr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25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Zulia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`ZUL_TOTZ_TTI_26.xls`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10.1 MB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2,498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Formato TIRAS Estándar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3.71 s</w:t>
            </w:r>
          </w:p>
        </w:tc>
        <w:tc>
          <w:tcPr>
            <w:tcW w:type="dxa" w:w="1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🟢 100% Conforme</w:t>
            </w:r>
          </w:p>
        </w:tc>
      </w:tr>
    </w:tbl>
    <w:p/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Totales Consolidados: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Archivos Auditados:</w:t>
      </w:r>
      <w:r>
        <w:rPr>
          <w:rFonts w:ascii="Calibri" w:hAnsi="Calibri"/>
          <w:color w:val="1E293B"/>
          <w:sz w:val="22"/>
        </w:rPr>
        <w:t xml:space="preserve"> 25 / 25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Tasa de Éxito / Compatibilidad: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b/>
          <w:color w:val="1E293B"/>
          <w:sz w:val="22"/>
        </w:rPr>
        <w:t>100.0%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Volumen Total de Filas Validadas: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b/>
          <w:color w:val="1E293B"/>
          <w:sz w:val="22"/>
        </w:rPr>
        <w:t>48,930 registros de interrupciones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Tiempo Total de Procesamiento de los 25 Estados: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b/>
          <w:color w:val="1E293B"/>
          <w:sz w:val="22"/>
        </w:rPr>
        <w:t>44.9 segundos</w:t>
      </w:r>
      <w:r>
        <w:rPr>
          <w:rFonts w:ascii="Calibri" w:hAnsi="Calibri"/>
          <w:color w:val="1E293B"/>
          <w:sz w:val="22"/>
        </w:rPr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5. ARQUITECTURA DEL "ESCUDO DE INGESTA INTELIGENTE" EN SCTIS v2.0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Para absorber la variabilidad de los 25 estados sin exigir cambios traumáticos e inmediatos a los analistas de despacho, se diseñó una arquitectura de cuatro niveles en [`app/import_routes.py`](file:///home/skidrowkodex/Documentos/Repositorio_Maestro/apps/sctis-v-2.0-distribucion/interrupciones/app/import_routes.py):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+---------------------------------------------------------------------------------------+</w:t>
              <w:br/>
              <w:t>|                    CAPA 1: ADAPTADOR UNIVERSAL DE ARCHIVOS TABULARES                  |</w:t>
              <w:br/>
              <w:t>|  - Detección transparente de formatos (.xlsx, .xls binario 97-2003, HTML tables, csv)  |</w:t>
              <w:br/>
              <w:t>|  - Carga In-Memory mediante xlrd (Cero escrituras temporales en disco para .xls)     |</w:t>
              <w:br/>
              <w:t>+---------------------------------------------------------------------------------------+</w:t>
              <w:br/>
              <w:t xml:space="preserve">                                           |</w:t>
              <w:br/>
              <w:t xml:space="preserve">                                           v</w:t>
              <w:br/>
              <w:t>+---------------------------------------------------------------------------------------+</w:t>
              <w:br/>
              <w:t>|                    CAPA 2: MOTOR DE MEMORIA ACOTADA (HojaMemoria)                     |</w:t>
              <w:br/>
              <w:t>|  - Límite estricto a 60 columnas y 2,500 filas por bloque                             |</w:t>
              <w:br/>
              <w:t>|  - Descarte inteligente de filas vacías (umbral de 50 filas para membretes iniciales) |</w:t>
              <w:br/>
              <w:t>|  - Consumo de RAM acotado (&lt; 15 MB) -&gt; Protección OOM garantizada                     |</w:t>
              <w:br/>
              <w:t>+---------------------------------------------------------------------------------------+</w:t>
              <w:br/>
              <w:t xml:space="preserve">                                           |</w:t>
              <w:br/>
              <w:t xml:space="preserve">                                           v</w:t>
              <w:br/>
              <w:t>+---------------------------------------------------------------------------------------+</w:t>
              <w:br/>
              <w:t>|                    CAPA 3: NORMALIZACIÓN SINTÁCTICA Y TEMPORAL                        |</w:t>
              <w:br/>
              <w:t>|  - normalizar_hora_24h(): Limpieza de comas (08,:54:00, -&gt; 08:54:00) y parseo 24h    |</w:t>
              <w:br/>
              <w:t>|  - separar_fecha_hora(): Extracción de fechas ISO (YYYY-MM-DD) y derivación de 'mes'  |</w:t>
              <w:br/>
              <w:t>|  - detectar_encabezados_y_filtro(): Escaneo heurístico con scoring de palabras clave |</w:t>
              <w:br/>
              <w:t>+---------------------------------------------------------------------------------------+</w:t>
              <w:br/>
              <w:t xml:space="preserve">                                           |</w:t>
              <w:br/>
              <w:t xml:space="preserve">                                           v</w:t>
              <w:br/>
              <w:t>+---------------------------------------------------------------------------------------+</w:t>
              <w:br/>
              <w:t>|                    CAPA 4: GOBERNANZA SEMÁNTICA Y PERSISTENCIA ATÓMICA                |</w:t>
              <w:br/>
              <w:t>|  - Homologación semántica de causas libres hacia las 16 causas SEN oficiales          |</w:t>
              <w:br/>
              <w:t>|  - Diccionario dinámico de alias (sctis.asset_alias)                                  |</w:t>
              <w:br/>
              <w:t>|  - Cola de aprobación no bloqueante (sctis.asset_request)                             |</w:t>
              <w:br/>
              <w:t>|  - Inserción por lotes con autocommit atómico en PostgreSQL / Supabase                |</w:t>
              <w:br/>
              <w:t>+---------------------------------------------------------------------------------------+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Principales Innovaciones de Código: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Aceleración *In-Memory* de Libros Binarios `.xls`: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En lugar de ejecutar conversiones lentas celda por celda hacia un nuevo archivo `.xlsx` (que tomaba más de 40 segundos en Zulia), `cargar_hoja_memoria()` instancia un wrapper directo sobre `xlrd.open_workbook()`, leyendo las tuplas de valores directamente a memoria RAM en menos de 0.1 segundos.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Tolerancia a Membretes y Banners Extensos: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El generador de `HojaMemoria` no interrumpe la lectura al encontrar filas en blanco iniciales; permite hasta 50 filas vacías antes de la primera celda con contenido, lo que resolvió de manera definitiva la ingestión de los reportes Crystal Reports de Monagas.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Autocuración de Marcas de Tiempo: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La función `normalizar_hora_24h` utiliza expresiones regulares combinadas con depuración de caracteres no numéricos (`re.sub(r'[,;]', '', s)`), asegurando que cualquier anomalía tipográfica sea reparada sin intervención manual.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6. ANÁLISIS CUANTITATIVO: COSTO MANUAL VS. SOLUCIÓN AUTOMATIZADA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El siguiente modelo de análisis compara el proceso tradicional manual frente al flujo automatizado con SCTIS v2.0: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 de Evaluación</w:t>
            </w:r>
          </w:p>
        </w:tc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Proceso Manual Tradicional</w:t>
            </w:r>
          </w:p>
        </w:tc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Proceso Automatizado SCTIS v2.0</w:t>
            </w:r>
          </w:p>
        </w:tc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Ganancia Operativa / ROI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Tiempo de procesamiento por archivo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4 a 8 horas continuas de analista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0.8 a 3.7 segundos computacionales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99.9% de reducción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Tiempo total mensual (25 estados)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100 a 200 horas-hombre / mes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&lt; 2 minutos de carga web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Liberación de 1.5 plazas técnicas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Horas-Hombre Anuales Invertidas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1,200 a 2,400 horas-hombre / año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&lt; 1 hora / año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2,399 horas ahorradas/año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Tasa de Error en Traspaso / Fórmulas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8.0% a 15.0% (omisiones, typos)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0.0% (validación determinista)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100% Consistencia ISO 9001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Disponibilidad de Indicadores (SAIDI/SAIFI)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Día 15 a 20 del mes siguiente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Tiempo Real (Mismo día de carga)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Decisiones estratégicas inmediatas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Costo Operativo Estimado Anual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$18,000.00 – $36,000.00 USD/año (HH)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$0.00 (costo marginal nulo)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Retorno de Inversión &gt; 5,000%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7. HOJA DE RUTA ESTRATÉGICA Y RECOMENDACIONES DE GOBERNANZA (GGPD)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Para consolidar de forma permanente la calidad y gobernanza de la información de distribución eléctrica a nivel nacional, se recomienda a la Gerencia General de Planificación de Distribución: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[FASE 1: Inmediata - Agosto 2026]</w:t>
              <w:br/>
              <w:t xml:space="preserve">   │── Despliegue y oficialización de SCTIS v2.0 como canal único de ingestión nacional.</w:t>
              <w:br/>
              <w:t xml:space="preserve">   └── Cierre definitivo de la recepción de archivos Excel por correo electrónico.</w:t>
              <w:br/>
              <w:br/>
              <w:t>[FASE 2: Corto Plazo - Septiembre-Octubre 2026]</w:t>
              <w:br/>
              <w:t xml:space="preserve">   │── Emisión de la Directriz Técnica GGPD sobre Carga de Tiras de Interrupción.</w:t>
              <w:br/>
              <w:t xml:space="preserve">   └── Capacitación a los despachadores de los 25 COD en el uso del Asistente de Carga.</w:t>
              <w:br/>
              <w:br/>
              <w:t>[FASE 3: Mediano Plazo - 2027]</w:t>
              <w:br/>
              <w:t xml:space="preserve">   │── Transición progresiva hacia el Formulario Digital Web en tiempo real.</w:t>
              <w:br/>
              <w:t xml:space="preserve">   └── Eliminación gradual de los archivos Excel mensuales como intermediarios.</w:t>
            </w:r>
          </w:p>
        </w:tc>
      </w:tr>
    </w:tbl>
    <w:p/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Oficializar SCTIS v2.0 como Canal Único Nacional: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Emitir una circular institucional que establezca que las estadísticas de interrupciones solo serán válidas si son cargadas y certificadas a través del portal central de SCTIS v2.0 en Supabase/PostgreSQL.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No Alterar los Sistemas Locales en los Despachos Regionales: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Instruir a los operadores que no es necesario modificar manualmente sus libros Excel antes de cargarlos; el "Escudo de Ingesta" de SCTIS v2.0 se encarga de la normalización, evitando errores introducidos por edición manual no controlada.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Gobernanza Activa de la Bandeja de Activos (`/admin/activos`):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Capacitar al equipo de administradores de la GGPD para la revisión semanal de solicitudes de alias y nuevos circuitos (`sctis.asset_request`), asegurando la retroalimentación continua del catálogo maestro (`common.assets`).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APROBACIÓN Y CONFORMIDAD TÉCNICA:</w:t>
      </w:r>
      <w:r>
        <w:rPr>
          <w:rFonts w:ascii="Calibri" w:hAnsi="Calibri"/>
          <w:color w:val="1E293B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__________________________________              __________________________________</w:t>
              <w:br/>
              <w:t xml:space="preserve">      Yván M. Cipiran N.                              T.S.U. Josué Pacheco</w:t>
              <w:br/>
              <w:t xml:space="preserve"> Especialista en Automatización e IA             Especialista de Desarrollo y Datos</w:t>
              <w:br/>
              <w:t xml:space="preserve">     Planificación Distribución                      Planificación Distribución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