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34074"/>
          <w:sz w:val="20"/>
        </w:rPr>
        <w:t>REPÚBLICA BOLIVARIANA DE VENEZUELA · MPPEE · CORPOELEC</w:t>
        <w:br/>
      </w:r>
      <w:r>
        <w:rPr>
          <w:rFonts w:ascii="Segoe UI" w:hAnsi="Segoe UI"/>
          <w:b/>
          <w:color w:val="0B2545"/>
          <w:sz w:val="34"/>
        </w:rPr>
        <w:t>ANÁLISIS ESTRATÉGICO Y MARCO LÓGICO DE METAS 2026 DE 1ER Y 2DO NIVEL</w:t>
      </w:r>
    </w:p>
    <w:tbl>
      <w:tblPr>
        <w:tblW w:type="auto" w:w="0"/>
        <w:jc w:val="center"/>
        <w:tblLook w:firstColumn="1" w:firstRow="1" w:lastColumn="0" w:lastRow="0" w:noHBand="0" w:noVBand="1" w:val="04A0"/>
      </w:tblPr>
      <w:tblGrid>
        <w:gridCol w:w="3420"/>
        <w:gridCol w:w="3420"/>
        <w:gridCol w:w="3420"/>
        <w:gridCol w:w="3420"/>
      </w:tblGrid>
      <w:tr>
        <w:tc>
          <w:tcPr>
            <w:tcW w:type="dxa" w:w="3168"/>
            <w:shd w:fill="F1F5F9"/>
            <w:tcMar>
              <w:top w:w="60" w:type="dxa"/>
              <w:bottom w:w="60" w:type="dxa"/>
              <w:left w:w="80" w:type="dxa"/>
              <w:right w:w="80" w:type="dxa"/>
            </w:tcMar>
          </w:tcPr>
          <w:p>
            <w:pPr>
              <w:spacing w:after="0"/>
            </w:pPr>
            <w:r>
              <w:rPr>
                <w:rFonts w:ascii="Segoe UI" w:hAnsi="Segoe UI"/>
                <w:b/>
                <w:color w:val="0B2545"/>
                <w:sz w:val="16"/>
              </w:rPr>
              <w:t xml:space="preserve">Código Documental: </w:t>
            </w:r>
            <w:r>
              <w:rPr>
                <w:rFonts w:ascii="Segoe UI" w:hAnsi="Segoe UI"/>
                <w:color w:val="0F172A"/>
                <w:sz w:val="16"/>
              </w:rPr>
              <w:t>DOC-GGPD-2026-METAS-001</w:t>
            </w:r>
          </w:p>
        </w:tc>
        <w:tc>
          <w:tcPr>
            <w:tcW w:type="dxa" w:w="3312"/>
            <w:shd w:fill="F1F5F9"/>
            <w:tcMar>
              <w:top w:w="60" w:type="dxa"/>
              <w:bottom w:w="60" w:type="dxa"/>
              <w:left w:w="80" w:type="dxa"/>
              <w:right w:w="80" w:type="dxa"/>
            </w:tcMar>
          </w:tcPr>
          <w:p>
            <w:pPr>
              <w:spacing w:after="0"/>
            </w:pPr>
            <w:r>
              <w:rPr>
                <w:rFonts w:ascii="Segoe UI" w:hAnsi="Segoe UI"/>
                <w:b/>
                <w:color w:val="0B2545"/>
                <w:sz w:val="16"/>
              </w:rPr>
              <w:t xml:space="preserve">Fecha de Emisión: </w:t>
            </w:r>
            <w:r>
              <w:rPr>
                <w:rFonts w:ascii="Segoe UI" w:hAnsi="Segoe UI"/>
                <w:color w:val="0F172A"/>
                <w:sz w:val="16"/>
              </w:rPr>
              <w:t>25 de Agosto de 2026</w:t>
            </w:r>
          </w:p>
        </w:tc>
        <w:tc>
          <w:tcPr>
            <w:tcW w:type="dxa" w:w="3600"/>
            <w:shd w:fill="F1F5F9"/>
            <w:tcMar>
              <w:top w:w="60" w:type="dxa"/>
              <w:bottom w:w="60" w:type="dxa"/>
              <w:left w:w="80" w:type="dxa"/>
              <w:right w:w="80" w:type="dxa"/>
            </w:tcMar>
          </w:tcPr>
          <w:p>
            <w:pPr>
              <w:spacing w:after="0"/>
            </w:pPr>
            <w:r>
              <w:rPr>
                <w:rFonts w:ascii="Segoe UI" w:hAnsi="Segoe UI"/>
                <w:b/>
                <w:color w:val="0B2545"/>
                <w:sz w:val="16"/>
              </w:rPr>
              <w:t xml:space="preserve">Área Técnica Emisora: </w:t>
            </w:r>
            <w:r>
              <w:rPr>
                <w:rFonts w:ascii="Segoe UI" w:hAnsi="Segoe UI"/>
                <w:color w:val="0F172A"/>
                <w:sz w:val="16"/>
              </w:rPr>
              <w:t>Equipo Automatización e IA GGPD</w:t>
            </w:r>
          </w:p>
        </w:tc>
        <w:tc>
          <w:tcPr>
            <w:tcW w:type="dxa" w:w="3600"/>
            <w:shd w:fill="F1F5F9"/>
            <w:tcMar>
              <w:top w:w="60" w:type="dxa"/>
              <w:bottom w:w="60" w:type="dxa"/>
              <w:left w:w="80" w:type="dxa"/>
              <w:right w:w="80" w:type="dxa"/>
            </w:tcMar>
          </w:tcPr>
          <w:p>
            <w:pPr>
              <w:spacing w:after="0"/>
            </w:pPr>
            <w:r>
              <w:rPr>
                <w:rFonts w:ascii="Segoe UI" w:hAnsi="Segoe UI"/>
                <w:b/>
                <w:color w:val="0B2545"/>
                <w:sz w:val="16"/>
              </w:rPr>
              <w:t xml:space="preserve">Marco Normativo: </w:t>
            </w:r>
            <w:r>
              <w:rPr>
                <w:rFonts w:ascii="Segoe UI" w:hAnsi="Segoe UI"/>
                <w:color w:val="0F172A"/>
                <w:sz w:val="16"/>
              </w:rPr>
              <w:t>ISO 8000-110 / ISO 55000 / ISO 27001</w:t>
            </w:r>
          </w:p>
        </w:tc>
      </w:tr>
    </w:tbl>
    <w:p>
      <w:pPr>
        <w:spacing w:after="120"/>
      </w:pPr>
    </w:p>
    <w:p>
      <w:pPr>
        <w:keepNext/>
        <w:spacing w:before="280" w:after="80"/>
      </w:pPr>
      <w:r>
        <w:rPr>
          <w:rFonts w:ascii="Segoe UI" w:hAnsi="Segoe UI"/>
          <w:b/>
          <w:color w:val="0B2545"/>
          <w:sz w:val="26"/>
        </w:rPr>
        <w:t>1. Resumen Ejecutivo y Objeto del Documento</w:t>
      </w:r>
    </w:p>
    <w:p>
      <w:pPr>
        <w:spacing w:before="0" w:after="80" w:line="276" w:lineRule="auto"/>
      </w:pPr>
      <w:r>
        <w:rPr>
          <w:rFonts w:ascii="Segoe UI" w:hAnsi="Segoe UI"/>
          <w:color w:val="0F172A"/>
          <w:sz w:val="19"/>
        </w:rPr>
        <w:t>El presente documento establece el marco conceptual, matemático y de gobernanza de datos que rige el Sistema de Medición de Metas 2026 para el Área de Distribución de CORPOELEC, fundamentado en la documentación oficial emitida por la Gerencia General de Planificación de Distribución (GGPD) mediante la serie de memorandos GGP-M-001-2026-01 al GGP-M-024-2026-01 y el consolidado maestro METAS 2026 1ER Y 2DO NIVEL.xlsx.</w:t>
      </w:r>
    </w:p>
    <w:p>
      <w:pPr>
        <w:spacing w:before="0" w:after="80" w:line="276" w:lineRule="auto"/>
      </w:pPr>
      <w:r>
        <w:rPr>
          <w:rFonts w:ascii="Segoe UI" w:hAnsi="Segoe UI"/>
          <w:color w:val="0F172A"/>
          <w:sz w:val="19"/>
        </w:rPr>
        <w:t>Este análisis resuelve de manera definitiva la dispersión operativa histórica y define el alineamiento funcional exacto de los seis módulos de software que componen el Repositorio Maestro de Distribución (SIGI, SCTIS, SCMTP, SCEIN, SCPPE y SCGCC).</w:t>
      </w:r>
    </w:p>
    <w:tbl>
      <w:tblPr>
        <w:tblW w:type="auto" w:w="0"/>
        <w:jc w:val="center"/>
        <w:tblLook w:firstColumn="1" w:firstRow="1" w:lastColumn="0" w:lastRow="0" w:noHBand="0" w:noVBand="1" w:val="04A0"/>
      </w:tblPr>
      <w:tblGrid>
        <w:gridCol w:w="13680"/>
      </w:tblGrid>
      <w:tr>
        <w:tc>
          <w:tcPr>
            <w:tcW w:type="dxa" w:w="13680"/>
            <w:shd w:fill="F0F9FF"/>
            <w:tcMar>
              <w:top w:w="100" w:type="dxa"/>
              <w:bottom w:w="100" w:type="dxa"/>
              <w:left w:w="150" w:type="dxa"/>
              <w:right w:w="150" w:type="dxa"/>
            </w:tcMar>
            <w:tcBorders>
              <w:left w:val="single" w:sz="24" w:space="0" w:color="0284C7"/>
              <w:top w:val="none"/>
              <w:right w:val="none"/>
              <w:bottom w:val="none"/>
            </w:tcBorders>
          </w:tcPr>
          <w:p>
            <w:pPr>
              <w:spacing w:after="0"/>
            </w:pPr>
            <w:r>
              <w:rPr>
                <w:rFonts w:ascii="Segoe UI" w:hAnsi="Segoe UI"/>
                <w:b/>
                <w:color w:val="0B2545"/>
                <w:sz w:val="19"/>
              </w:rPr>
              <w:t>ARQUITECTURA DE MEDICIÓN BIDIRECCIONAL SEN</w:t>
              <w:br/>
            </w:r>
            <w:r>
              <w:rPr>
                <w:rFonts w:ascii="Segoe UI" w:hAnsi="Segoe UI"/>
                <w:color w:val="0F172A"/>
                <w:sz w:val="18"/>
              </w:rPr>
              <w:t>Principio Rector Causal: El 2do Nivel (Mantenimiento Físico) representa la Causa Operativa financiada por el POA; el 1er Nivel (Confiabilidad SEN) representa el Efecto en Calidad de Servicio percibido por los usuarios. Toda automatización debe respetar esta relación matemática.</w:t>
            </w:r>
          </w:p>
        </w:tc>
      </w:tr>
    </w:tbl>
    <w:p>
      <w:pPr>
        <w:spacing w:after="60"/>
      </w:pPr>
    </w:p>
    <w:p>
      <w:pPr>
        <w:keepNext/>
        <w:spacing w:before="280" w:after="80"/>
      </w:pPr>
      <w:r>
        <w:rPr>
          <w:rFonts w:ascii="Segoe UI" w:hAnsi="Segoe UI"/>
          <w:b/>
          <w:color w:val="0B2545"/>
          <w:sz w:val="26"/>
        </w:rPr>
        <w:t>2. Indicadores de Primer Nivel (Calidad de Servicio y Continuidad SEN)</w:t>
      </w:r>
    </w:p>
    <w:p>
      <w:pPr>
        <w:spacing w:before="0" w:after="80" w:line="276" w:lineRule="auto"/>
      </w:pPr>
      <w:r>
        <w:rPr>
          <w:rFonts w:ascii="Segoe UI" w:hAnsi="Segoe UI"/>
          <w:color w:val="0F172A"/>
          <w:sz w:val="19"/>
        </w:rPr>
        <w:t>Representan el resultado final percibido por los usuarios y la estabilidad del Sistema Eléctrico Nacional. Se miden mensualmente en los 24 estados federados y a escala nacional: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736"/>
        <w:gridCol w:w="2736"/>
        <w:gridCol w:w="2736"/>
        <w:gridCol w:w="2736"/>
        <w:gridCol w:w="2736"/>
      </w:tblGrid>
      <w:tr>
        <w:tc>
          <w:tcPr>
            <w:tcW w:type="dxa" w:w="1728"/>
            <w:shd w:fill="0B2545"/>
            <w:tcMar>
              <w:top w:w="100" w:type="dxa"/>
              <w:bottom w:w="100" w:type="dxa"/>
              <w:left w:w="100" w:type="dxa"/>
              <w:right w:w="100" w:type="dxa"/>
            </w:tcMar>
          </w:tcPr>
          <w:p>
            <w:pPr>
              <w:jc w:val="center"/>
            </w:pPr>
            <w:r>
              <w:rPr>
                <w:rFonts w:ascii="Segoe UI" w:hAnsi="Segoe UI"/>
                <w:b/>
                <w:color w:val="FFFFFF"/>
                <w:sz w:val="17"/>
              </w:rPr>
              <w:t>Indicador</w:t>
            </w:r>
          </w:p>
        </w:tc>
        <w:tc>
          <w:tcPr>
            <w:tcW w:type="dxa" w:w="3600"/>
            <w:shd w:fill="0B2545"/>
            <w:tcMar>
              <w:top w:w="100" w:type="dxa"/>
              <w:bottom w:w="100" w:type="dxa"/>
              <w:left w:w="100" w:type="dxa"/>
              <w:right w:w="100" w:type="dxa"/>
            </w:tcMar>
          </w:tcPr>
          <w:p>
            <w:pPr>
              <w:jc w:val="center"/>
            </w:pPr>
            <w:r>
              <w:rPr>
                <w:rFonts w:ascii="Segoe UI" w:hAnsi="Segoe UI"/>
                <w:b/>
                <w:color w:val="FFFFFF"/>
                <w:sz w:val="17"/>
              </w:rPr>
              <w:t>Nombre Oficial / Estándar IEEE</w:t>
            </w:r>
          </w:p>
        </w:tc>
        <w:tc>
          <w:tcPr>
            <w:tcW w:type="dxa" w:w="1728"/>
            <w:shd w:fill="0B2545"/>
            <w:tcMar>
              <w:top w:w="100" w:type="dxa"/>
              <w:bottom w:w="100" w:type="dxa"/>
              <w:left w:w="100" w:type="dxa"/>
              <w:right w:w="100" w:type="dxa"/>
            </w:tcMar>
          </w:tcPr>
          <w:p>
            <w:pPr>
              <w:jc w:val="center"/>
            </w:pPr>
            <w:r>
              <w:rPr>
                <w:rFonts w:ascii="Segoe UI" w:hAnsi="Segoe UI"/>
                <w:b/>
                <w:color w:val="FFFFFF"/>
                <w:sz w:val="17"/>
              </w:rPr>
              <w:t>Unidad</w:t>
            </w:r>
          </w:p>
        </w:tc>
        <w:tc>
          <w:tcPr>
            <w:tcW w:type="dxa" w:w="2304"/>
            <w:shd w:fill="0B2545"/>
            <w:tcMar>
              <w:top w:w="100" w:type="dxa"/>
              <w:bottom w:w="100" w:type="dxa"/>
              <w:left w:w="100" w:type="dxa"/>
              <w:right w:w="100" w:type="dxa"/>
            </w:tcMar>
          </w:tcPr>
          <w:p>
            <w:pPr>
              <w:jc w:val="center"/>
            </w:pPr>
            <w:r>
              <w:rPr>
                <w:rFonts w:ascii="Segoe UI" w:hAnsi="Segoe UI"/>
                <w:b/>
                <w:color w:val="FFFFFF"/>
                <w:sz w:val="17"/>
              </w:rPr>
              <w:t>Meta Nacional 2026</w:t>
            </w:r>
          </w:p>
        </w:tc>
        <w:tc>
          <w:tcPr>
            <w:tcW w:type="dxa" w:w="4320"/>
            <w:shd w:fill="0B2545"/>
            <w:tcMar>
              <w:top w:w="100" w:type="dxa"/>
              <w:bottom w:w="100" w:type="dxa"/>
              <w:left w:w="100" w:type="dxa"/>
              <w:right w:w="100" w:type="dxa"/>
            </w:tcMar>
          </w:tcPr>
          <w:p>
            <w:pPr>
              <w:jc w:val="center"/>
            </w:pPr>
            <w:r>
              <w:rPr>
                <w:rFonts w:ascii="Segoe UI" w:hAnsi="Segoe UI"/>
                <w:b/>
                <w:color w:val="FFFFFF"/>
                <w:sz w:val="17"/>
              </w:rPr>
              <w:t>Propósito Estratégico</w:t>
            </w:r>
          </w:p>
        </w:tc>
      </w:tr>
      <w:tr>
        <w:tc>
          <w:tcPr>
            <w:tcW w:type="dxa" w:w="1728"/>
            <w:shd w:fill="F8FAFC"/>
            <w:tcMar>
              <w:top w:w="80" w:type="dxa"/>
              <w:bottom w:w="80" w:type="dxa"/>
              <w:left w:w="80" w:type="dxa"/>
              <w:right w:w="80" w:type="dxa"/>
            </w:tcMar>
          </w:tcPr>
          <w:p>
            <w:r>
              <w:rPr>
                <w:rFonts w:ascii="Segoe UI" w:hAnsi="Segoe UI"/>
                <w:b/>
                <w:color w:val="0284C7"/>
                <w:sz w:val="16"/>
              </w:rPr>
              <w:t>TTI</w:t>
            </w:r>
          </w:p>
        </w:tc>
        <w:tc>
          <w:tcPr>
            <w:tcW w:type="dxa" w:w="3600"/>
            <w:shd w:fill="F8FAFC"/>
            <w:tcMar>
              <w:top w:w="80" w:type="dxa"/>
              <w:bottom w:w="80" w:type="dxa"/>
              <w:left w:w="80" w:type="dxa"/>
              <w:right w:w="80" w:type="dxa"/>
            </w:tcMar>
          </w:tcPr>
          <w:p>
            <w:r>
              <w:rPr>
                <w:rFonts w:ascii="Segoe UI" w:hAnsi="Segoe UI"/>
                <w:color w:val="0F172A"/>
                <w:sz w:val="16"/>
              </w:rPr>
              <w:t>Tiempo Total de Interrupciones (SAIDI)</w:t>
            </w:r>
          </w:p>
        </w:tc>
        <w:tc>
          <w:tcPr>
            <w:tcW w:type="dxa" w:w="1728"/>
            <w:shd w:fill="F8FAFC"/>
            <w:tcMar>
              <w:top w:w="80" w:type="dxa"/>
              <w:bottom w:w="80" w:type="dxa"/>
              <w:left w:w="80" w:type="dxa"/>
              <w:right w:w="80" w:type="dxa"/>
            </w:tcMar>
          </w:tcPr>
          <w:p>
            <w:r>
              <w:rPr>
                <w:rFonts w:ascii="Segoe UI" w:hAnsi="Segoe UI"/>
                <w:color w:val="0F172A"/>
                <w:sz w:val="16"/>
              </w:rPr>
              <w:t>Horas / Año</w:t>
            </w:r>
          </w:p>
        </w:tc>
        <w:tc>
          <w:tcPr>
            <w:tcW w:type="dxa" w:w="2304"/>
            <w:shd w:fill="F8FAFC"/>
            <w:tcMar>
              <w:top w:w="80" w:type="dxa"/>
              <w:bottom w:w="80" w:type="dxa"/>
              <w:left w:w="80" w:type="dxa"/>
              <w:right w:w="80" w:type="dxa"/>
            </w:tcMar>
          </w:tcPr>
          <w:p>
            <w:r>
              <w:rPr>
                <w:rFonts w:ascii="Segoe UI" w:hAnsi="Segoe UI"/>
                <w:b/>
                <w:color w:val="0B2545"/>
                <w:sz w:val="16"/>
              </w:rPr>
              <w:t>42,79 hrs</w:t>
            </w:r>
          </w:p>
        </w:tc>
        <w:tc>
          <w:tcPr>
            <w:tcW w:type="dxa" w:w="4320"/>
            <w:shd w:fill="F8FAFC"/>
            <w:tcMar>
              <w:top w:w="80" w:type="dxa"/>
              <w:bottom w:w="80" w:type="dxa"/>
              <w:left w:w="80" w:type="dxa"/>
              <w:right w:w="80" w:type="dxa"/>
            </w:tcMar>
          </w:tcPr>
          <w:p>
            <w:r>
              <w:rPr>
                <w:rFonts w:ascii="Segoe UI" w:hAnsi="Segoe UI"/>
                <w:color w:val="0F172A"/>
                <w:sz w:val="16"/>
              </w:rPr>
              <w:t>Mide el tiempo total acumulado que los usuarios permanecieron sin servicio eléctrico en el año.</w:t>
            </w:r>
          </w:p>
        </w:tc>
      </w:tr>
      <w:tr>
        <w:tc>
          <w:tcPr>
            <w:tcW w:type="dxa" w:w="1728"/>
            <w:shd w:fill="FFFFFF"/>
            <w:tcMar>
              <w:top w:w="80" w:type="dxa"/>
              <w:bottom w:w="80" w:type="dxa"/>
              <w:left w:w="80" w:type="dxa"/>
              <w:right w:w="80" w:type="dxa"/>
            </w:tcMar>
          </w:tcPr>
          <w:p>
            <w:r>
              <w:rPr>
                <w:rFonts w:ascii="Segoe UI" w:hAnsi="Segoe UI"/>
                <w:b/>
                <w:color w:val="0284C7"/>
                <w:sz w:val="16"/>
              </w:rPr>
              <w:t>FMI</w:t>
            </w:r>
          </w:p>
        </w:tc>
        <w:tc>
          <w:tcPr>
            <w:tcW w:type="dxa" w:w="3600"/>
            <w:shd w:fill="FFFFFF"/>
            <w:tcMar>
              <w:top w:w="80" w:type="dxa"/>
              <w:bottom w:w="80" w:type="dxa"/>
              <w:left w:w="80" w:type="dxa"/>
              <w:right w:w="80" w:type="dxa"/>
            </w:tcMar>
          </w:tcPr>
          <w:p>
            <w:r>
              <w:rPr>
                <w:rFonts w:ascii="Segoe UI" w:hAnsi="Segoe UI"/>
                <w:color w:val="0F172A"/>
                <w:sz w:val="16"/>
              </w:rPr>
              <w:t>Frecuencia Media de Interrupciones (SAIFI)</w:t>
            </w:r>
          </w:p>
        </w:tc>
        <w:tc>
          <w:tcPr>
            <w:tcW w:type="dxa" w:w="1728"/>
            <w:shd w:fill="FFFFFF"/>
            <w:tcMar>
              <w:top w:w="80" w:type="dxa"/>
              <w:bottom w:w="80" w:type="dxa"/>
              <w:left w:w="80" w:type="dxa"/>
              <w:right w:w="80" w:type="dxa"/>
            </w:tcMar>
          </w:tcPr>
          <w:p>
            <w:r>
              <w:rPr>
                <w:rFonts w:ascii="Segoe UI" w:hAnsi="Segoe UI"/>
                <w:color w:val="0F172A"/>
                <w:sz w:val="16"/>
              </w:rPr>
              <w:t>Interrup. / Año</w:t>
            </w:r>
          </w:p>
        </w:tc>
        <w:tc>
          <w:tcPr>
            <w:tcW w:type="dxa" w:w="2304"/>
            <w:shd w:fill="FFFFFF"/>
            <w:tcMar>
              <w:top w:w="80" w:type="dxa"/>
              <w:bottom w:w="80" w:type="dxa"/>
              <w:left w:w="80" w:type="dxa"/>
              <w:right w:w="80" w:type="dxa"/>
            </w:tcMar>
          </w:tcPr>
          <w:p>
            <w:r>
              <w:rPr>
                <w:rFonts w:ascii="Segoe UI" w:hAnsi="Segoe UI"/>
                <w:b/>
                <w:color w:val="0B2545"/>
                <w:sz w:val="16"/>
              </w:rPr>
              <w:t>42,49 int / cte</w:t>
            </w:r>
          </w:p>
        </w:tc>
        <w:tc>
          <w:tcPr>
            <w:tcW w:type="dxa" w:w="4320"/>
            <w:shd w:fill="FFFFFF"/>
            <w:tcMar>
              <w:top w:w="80" w:type="dxa"/>
              <w:bottom w:w="80" w:type="dxa"/>
              <w:left w:w="80" w:type="dxa"/>
              <w:right w:w="80" w:type="dxa"/>
            </w:tcMar>
          </w:tcPr>
          <w:p>
            <w:r>
              <w:rPr>
                <w:rFonts w:ascii="Segoe UI" w:hAnsi="Segoe UI"/>
                <w:color w:val="0F172A"/>
                <w:sz w:val="16"/>
              </w:rPr>
              <w:t>Mide la cantidad promedio de veces que un usuario experimentó corte de servicio en el año.</w:t>
            </w:r>
          </w:p>
        </w:tc>
      </w:tr>
      <w:tr>
        <w:tc>
          <w:tcPr>
            <w:tcW w:type="dxa" w:w="1728"/>
            <w:shd w:fill="F8FAFC"/>
            <w:tcMar>
              <w:top w:w="80" w:type="dxa"/>
              <w:bottom w:w="80" w:type="dxa"/>
              <w:left w:w="80" w:type="dxa"/>
              <w:right w:w="80" w:type="dxa"/>
            </w:tcMar>
          </w:tcPr>
          <w:p>
            <w:r>
              <w:rPr>
                <w:rFonts w:ascii="Segoe UI" w:hAnsi="Segoe UI"/>
                <w:b/>
                <w:color w:val="0284C7"/>
                <w:sz w:val="16"/>
              </w:rPr>
              <w:t>NDI</w:t>
            </w:r>
          </w:p>
        </w:tc>
        <w:tc>
          <w:tcPr>
            <w:tcW w:type="dxa" w:w="3600"/>
            <w:shd w:fill="F8FAFC"/>
            <w:tcMar>
              <w:top w:w="80" w:type="dxa"/>
              <w:bottom w:w="80" w:type="dxa"/>
              <w:left w:w="80" w:type="dxa"/>
              <w:right w:w="80" w:type="dxa"/>
            </w:tcMar>
          </w:tcPr>
          <w:p>
            <w:r>
              <w:rPr>
                <w:rFonts w:ascii="Segoe UI" w:hAnsi="Segoe UI"/>
                <w:color w:val="0F172A"/>
                <w:sz w:val="16"/>
              </w:rPr>
              <w:t>Número de Interrupciones</w:t>
            </w:r>
          </w:p>
        </w:tc>
        <w:tc>
          <w:tcPr>
            <w:tcW w:type="dxa" w:w="1728"/>
            <w:shd w:fill="F8FAFC"/>
            <w:tcMar>
              <w:top w:w="80" w:type="dxa"/>
              <w:bottom w:w="80" w:type="dxa"/>
              <w:left w:w="80" w:type="dxa"/>
              <w:right w:w="80" w:type="dxa"/>
            </w:tcMar>
          </w:tcPr>
          <w:p>
            <w:r>
              <w:rPr>
                <w:rFonts w:ascii="Segoe UI" w:hAnsi="Segoe UI"/>
                <w:color w:val="0F172A"/>
                <w:sz w:val="16"/>
              </w:rPr>
              <w:t>Disparos</w:t>
            </w:r>
          </w:p>
        </w:tc>
        <w:tc>
          <w:tcPr>
            <w:tcW w:type="dxa" w:w="2304"/>
            <w:shd w:fill="F8FAFC"/>
            <w:tcMar>
              <w:top w:w="80" w:type="dxa"/>
              <w:bottom w:w="80" w:type="dxa"/>
              <w:left w:w="80" w:type="dxa"/>
              <w:right w:w="80" w:type="dxa"/>
            </w:tcMar>
          </w:tcPr>
          <w:p>
            <w:r>
              <w:rPr>
                <w:rFonts w:ascii="Segoe UI" w:hAnsi="Segoe UI"/>
                <w:b/>
                <w:color w:val="0B2545"/>
                <w:sz w:val="16"/>
              </w:rPr>
              <w:t>150.347 fallas</w:t>
            </w:r>
          </w:p>
        </w:tc>
        <w:tc>
          <w:tcPr>
            <w:tcW w:type="dxa" w:w="4320"/>
            <w:shd w:fill="F8FAFC"/>
            <w:tcMar>
              <w:top w:w="80" w:type="dxa"/>
              <w:bottom w:w="80" w:type="dxa"/>
              <w:left w:w="80" w:type="dxa"/>
              <w:right w:w="80" w:type="dxa"/>
            </w:tcMar>
          </w:tcPr>
          <w:p>
            <w:r>
              <w:rPr>
                <w:rFonts w:ascii="Segoe UI" w:hAnsi="Segoe UI"/>
                <w:color w:val="0F172A"/>
                <w:sz w:val="16"/>
              </w:rPr>
              <w:t>Volumen total de eventos de interrupción (automáticos y manuales) registrados en media tensión.</w:t>
            </w:r>
          </w:p>
        </w:tc>
      </w:tr>
      <w:tr>
        <w:tc>
          <w:tcPr>
            <w:tcW w:type="dxa" w:w="1728"/>
            <w:shd w:fill="FFFFFF"/>
            <w:tcMar>
              <w:top w:w="80" w:type="dxa"/>
              <w:bottom w:w="80" w:type="dxa"/>
              <w:left w:w="80" w:type="dxa"/>
              <w:right w:w="80" w:type="dxa"/>
            </w:tcMar>
          </w:tcPr>
          <w:p>
            <w:r>
              <w:rPr>
                <w:rFonts w:ascii="Segoe UI" w:hAnsi="Segoe UI"/>
                <w:b/>
                <w:color w:val="0284C7"/>
                <w:sz w:val="16"/>
              </w:rPr>
              <w:t>DPI</w:t>
            </w:r>
          </w:p>
        </w:tc>
        <w:tc>
          <w:tcPr>
            <w:tcW w:type="dxa" w:w="3600"/>
            <w:shd w:fill="FFFFFF"/>
            <w:tcMar>
              <w:top w:w="80" w:type="dxa"/>
              <w:bottom w:w="80" w:type="dxa"/>
              <w:left w:w="80" w:type="dxa"/>
              <w:right w:w="80" w:type="dxa"/>
            </w:tcMar>
          </w:tcPr>
          <w:p>
            <w:r>
              <w:rPr>
                <w:rFonts w:ascii="Segoe UI" w:hAnsi="Segoe UI"/>
                <w:color w:val="0F172A"/>
                <w:sz w:val="16"/>
              </w:rPr>
              <w:t>Duración Promedio de Interrupciones (CAIDI)</w:t>
            </w:r>
          </w:p>
        </w:tc>
        <w:tc>
          <w:tcPr>
            <w:tcW w:type="dxa" w:w="1728"/>
            <w:shd w:fill="FFFFFF"/>
            <w:tcMar>
              <w:top w:w="80" w:type="dxa"/>
              <w:bottom w:w="80" w:type="dxa"/>
              <w:left w:w="80" w:type="dxa"/>
              <w:right w:w="80" w:type="dxa"/>
            </w:tcMar>
          </w:tcPr>
          <w:p>
            <w:r>
              <w:rPr>
                <w:rFonts w:ascii="Segoe UI" w:hAnsi="Segoe UI"/>
                <w:color w:val="0F172A"/>
                <w:sz w:val="16"/>
              </w:rPr>
              <w:t>Horas / Evento</w:t>
            </w:r>
          </w:p>
        </w:tc>
        <w:tc>
          <w:tcPr>
            <w:tcW w:type="dxa" w:w="2304"/>
            <w:shd w:fill="FFFFFF"/>
            <w:tcMar>
              <w:top w:w="80" w:type="dxa"/>
              <w:bottom w:w="80" w:type="dxa"/>
              <w:left w:w="80" w:type="dxa"/>
              <w:right w:w="80" w:type="dxa"/>
            </w:tcMar>
          </w:tcPr>
          <w:p>
            <w:r>
              <w:rPr>
                <w:rFonts w:ascii="Segoe UI" w:hAnsi="Segoe UI"/>
                <w:b/>
                <w:color w:val="0B2545"/>
                <w:sz w:val="16"/>
              </w:rPr>
              <w:t>1,01 hrs</w:t>
            </w:r>
          </w:p>
        </w:tc>
        <w:tc>
          <w:tcPr>
            <w:tcW w:type="dxa" w:w="4320"/>
            <w:shd w:fill="FFFFFF"/>
            <w:tcMar>
              <w:top w:w="80" w:type="dxa"/>
              <w:bottom w:w="80" w:type="dxa"/>
              <w:left w:w="80" w:type="dxa"/>
              <w:right w:w="80" w:type="dxa"/>
            </w:tcMar>
          </w:tcPr>
          <w:p>
            <w:r>
              <w:rPr>
                <w:rFonts w:ascii="Segoe UI" w:hAnsi="Segoe UI"/>
                <w:color w:val="0F172A"/>
                <w:sz w:val="16"/>
              </w:rPr>
              <w:t>Eficiencia de respuesta de las cuadrillas para restablecer el servicio: DPI = TTI / FMI.</w:t>
            </w:r>
          </w:p>
        </w:tc>
      </w:tr>
      <w:tr>
        <w:tc>
          <w:tcPr>
            <w:tcW w:type="dxa" w:w="1728"/>
            <w:shd w:fill="F8FAFC"/>
            <w:tcMar>
              <w:top w:w="80" w:type="dxa"/>
              <w:bottom w:w="80" w:type="dxa"/>
              <w:left w:w="80" w:type="dxa"/>
              <w:right w:w="80" w:type="dxa"/>
            </w:tcMar>
          </w:tcPr>
          <w:p>
            <w:r>
              <w:rPr>
                <w:rFonts w:ascii="Segoe UI" w:hAnsi="Segoe UI"/>
                <w:b/>
                <w:color w:val="0284C7"/>
                <w:sz w:val="16"/>
              </w:rPr>
              <w:t>RIND</w:t>
            </w:r>
          </w:p>
        </w:tc>
        <w:tc>
          <w:tcPr>
            <w:tcW w:type="dxa" w:w="3600"/>
            <w:shd w:fill="F8FAFC"/>
            <w:tcMar>
              <w:top w:w="80" w:type="dxa"/>
              <w:bottom w:w="80" w:type="dxa"/>
              <w:left w:w="80" w:type="dxa"/>
              <w:right w:w="80" w:type="dxa"/>
            </w:tcMar>
          </w:tcPr>
          <w:p>
            <w:r>
              <w:rPr>
                <w:rFonts w:ascii="Segoe UI" w:hAnsi="Segoe UI"/>
                <w:color w:val="0F172A"/>
                <w:sz w:val="16"/>
              </w:rPr>
              <w:t>Régimen de Interrupciones no Programadas</w:t>
            </w:r>
          </w:p>
        </w:tc>
        <w:tc>
          <w:tcPr>
            <w:tcW w:type="dxa" w:w="1728"/>
            <w:shd w:fill="F8FAFC"/>
            <w:tcMar>
              <w:top w:w="80" w:type="dxa"/>
              <w:bottom w:w="80" w:type="dxa"/>
              <w:left w:w="80" w:type="dxa"/>
              <w:right w:w="80" w:type="dxa"/>
            </w:tcMar>
          </w:tcPr>
          <w:p>
            <w:r>
              <w:rPr>
                <w:rFonts w:ascii="Segoe UI" w:hAnsi="Segoe UI"/>
                <w:color w:val="0F172A"/>
                <w:sz w:val="16"/>
              </w:rPr>
              <w:t>Índice Ponderado</w:t>
            </w:r>
          </w:p>
        </w:tc>
        <w:tc>
          <w:tcPr>
            <w:tcW w:type="dxa" w:w="2304"/>
            <w:shd w:fill="F8FAFC"/>
            <w:tcMar>
              <w:top w:w="80" w:type="dxa"/>
              <w:bottom w:w="80" w:type="dxa"/>
              <w:left w:w="80" w:type="dxa"/>
              <w:right w:w="80" w:type="dxa"/>
            </w:tcMar>
          </w:tcPr>
          <w:p>
            <w:r>
              <w:rPr>
                <w:rFonts w:ascii="Segoe UI" w:hAnsi="Segoe UI"/>
                <w:b/>
                <w:color w:val="0B2545"/>
                <w:sz w:val="16"/>
              </w:rPr>
              <w:t>RIND V5 Oficial</w:t>
            </w:r>
          </w:p>
        </w:tc>
        <w:tc>
          <w:tcPr>
            <w:tcW w:type="dxa" w:w="4320"/>
            <w:shd w:fill="F8FAFC"/>
            <w:tcMar>
              <w:top w:w="80" w:type="dxa"/>
              <w:bottom w:w="80" w:type="dxa"/>
              <w:left w:w="80" w:type="dxa"/>
              <w:right w:w="80" w:type="dxa"/>
            </w:tcMar>
          </w:tcPr>
          <w:p>
            <w:r>
              <w:rPr>
                <w:rFonts w:ascii="Segoe UI" w:hAnsi="Segoe UI"/>
                <w:color w:val="0F172A"/>
                <w:sz w:val="16"/>
              </w:rPr>
              <w:t>Indicador de severidad de interrupciones no programadas en función de la carga afectada (MW).</w:t>
            </w:r>
          </w:p>
        </w:tc>
      </w:tr>
    </w:tbl>
    <w:p>
      <w:pPr>
        <w:spacing w:after="120"/>
      </w:pPr>
    </w:p>
    <w:p>
      <w:pPr>
        <w:keepNext/>
        <w:spacing w:before="280" w:after="80"/>
      </w:pPr>
      <w:r>
        <w:rPr>
          <w:rFonts w:ascii="Segoe UI" w:hAnsi="Segoe UI"/>
          <w:b/>
          <w:color w:val="0B2545"/>
          <w:sz w:val="26"/>
        </w:rPr>
        <w:t>3. Indicadores de Segundo Nivel (Plan Operativo de Mantenimiento Preventivo)</w:t>
      </w:r>
    </w:p>
    <w:p>
      <w:pPr>
        <w:spacing w:before="0" w:after="80" w:line="276" w:lineRule="auto"/>
      </w:pPr>
      <w:r>
        <w:rPr>
          <w:rFonts w:ascii="Segoe UI" w:hAnsi="Segoe UI"/>
          <w:color w:val="0F172A"/>
          <w:sz w:val="19"/>
        </w:rPr>
        <w:t>Representan la ejecución física de mantenimiento programado en el parque eléctrico para erradicar las causas raíces de falla: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736"/>
        <w:gridCol w:w="2736"/>
        <w:gridCol w:w="2736"/>
        <w:gridCol w:w="2736"/>
        <w:gridCol w:w="2736"/>
      </w:tblGrid>
      <w:tr>
        <w:tc>
          <w:tcPr>
            <w:tcW w:type="dxa" w:w="1728"/>
            <w:shd w:fill="0B2545"/>
            <w:tcMar>
              <w:top w:w="100" w:type="dxa"/>
              <w:bottom w:w="100" w:type="dxa"/>
              <w:left w:w="100" w:type="dxa"/>
              <w:right w:w="100" w:type="dxa"/>
            </w:tcMar>
          </w:tcPr>
          <w:p>
            <w:pPr>
              <w:jc w:val="center"/>
            </w:pPr>
            <w:r>
              <w:rPr>
                <w:rFonts w:ascii="Segoe UI" w:hAnsi="Segoe UI"/>
                <w:b/>
                <w:color w:val="FFFFFF"/>
                <w:sz w:val="17"/>
              </w:rPr>
              <w:t>Indicador</w:t>
            </w:r>
          </w:p>
        </w:tc>
        <w:tc>
          <w:tcPr>
            <w:tcW w:type="dxa" w:w="3600"/>
            <w:shd w:fill="0B2545"/>
            <w:tcMar>
              <w:top w:w="100" w:type="dxa"/>
              <w:bottom w:w="100" w:type="dxa"/>
              <w:left w:w="100" w:type="dxa"/>
              <w:right w:w="100" w:type="dxa"/>
            </w:tcMar>
          </w:tcPr>
          <w:p>
            <w:pPr>
              <w:jc w:val="center"/>
            </w:pPr>
            <w:r>
              <w:rPr>
                <w:rFonts w:ascii="Segoe UI" w:hAnsi="Segoe UI"/>
                <w:b/>
                <w:color w:val="FFFFFF"/>
                <w:sz w:val="17"/>
              </w:rPr>
              <w:t>Nombre Oficial</w:t>
            </w:r>
          </w:p>
        </w:tc>
        <w:tc>
          <w:tcPr>
            <w:tcW w:type="dxa" w:w="1728"/>
            <w:shd w:fill="0B2545"/>
            <w:tcMar>
              <w:top w:w="100" w:type="dxa"/>
              <w:bottom w:w="100" w:type="dxa"/>
              <w:left w:w="100" w:type="dxa"/>
              <w:right w:w="100" w:type="dxa"/>
            </w:tcMar>
          </w:tcPr>
          <w:p>
            <w:pPr>
              <w:jc w:val="center"/>
            </w:pPr>
            <w:r>
              <w:rPr>
                <w:rFonts w:ascii="Segoe UI" w:hAnsi="Segoe UI"/>
                <w:b/>
                <w:color w:val="FFFFFF"/>
                <w:sz w:val="17"/>
              </w:rPr>
              <w:t>Unidad</w:t>
            </w:r>
          </w:p>
        </w:tc>
        <w:tc>
          <w:tcPr>
            <w:tcW w:type="dxa" w:w="2304"/>
            <w:shd w:fill="0B2545"/>
            <w:tcMar>
              <w:top w:w="100" w:type="dxa"/>
              <w:bottom w:w="100" w:type="dxa"/>
              <w:left w:w="100" w:type="dxa"/>
              <w:right w:w="100" w:type="dxa"/>
            </w:tcMar>
          </w:tcPr>
          <w:p>
            <w:pPr>
              <w:jc w:val="center"/>
            </w:pPr>
            <w:r>
              <w:rPr>
                <w:rFonts w:ascii="Segoe UI" w:hAnsi="Segoe UI"/>
                <w:b/>
                <w:color w:val="FFFFFF"/>
                <w:sz w:val="17"/>
              </w:rPr>
              <w:t>Meta Nacional 2026</w:t>
            </w:r>
          </w:p>
        </w:tc>
        <w:tc>
          <w:tcPr>
            <w:tcW w:type="dxa" w:w="4320"/>
            <w:shd w:fill="0B2545"/>
            <w:tcMar>
              <w:top w:w="100" w:type="dxa"/>
              <w:bottom w:w="100" w:type="dxa"/>
              <w:left w:w="100" w:type="dxa"/>
              <w:right w:w="100" w:type="dxa"/>
            </w:tcMar>
          </w:tcPr>
          <w:p>
            <w:pPr>
              <w:jc w:val="center"/>
            </w:pPr>
            <w:r>
              <w:rPr>
                <w:rFonts w:ascii="Segoe UI" w:hAnsi="Segoe UI"/>
                <w:b/>
                <w:color w:val="FFFFFF"/>
                <w:sz w:val="17"/>
              </w:rPr>
              <w:t>Criterio de Selección y Fórmula Base</w:t>
            </w:r>
          </w:p>
        </w:tc>
      </w:tr>
      <w:tr>
        <w:tc>
          <w:tcPr>
            <w:tcW w:type="dxa" w:w="1728"/>
            <w:shd w:fill="F8FAFC"/>
            <w:tcMar>
              <w:top w:w="80" w:type="dxa"/>
              <w:bottom w:w="80" w:type="dxa"/>
              <w:left w:w="80" w:type="dxa"/>
              <w:right w:w="80" w:type="dxa"/>
            </w:tcMar>
          </w:tcPr>
          <w:p>
            <w:r>
              <w:rPr>
                <w:rFonts w:ascii="Segoe UI" w:hAnsi="Segoe UI"/>
                <w:b/>
                <w:color w:val="059669"/>
                <w:sz w:val="16"/>
              </w:rPr>
              <w:t>AP</w:t>
            </w:r>
          </w:p>
        </w:tc>
        <w:tc>
          <w:tcPr>
            <w:tcW w:type="dxa" w:w="3600"/>
            <w:shd w:fill="F8FAFC"/>
            <w:tcMar>
              <w:top w:w="80" w:type="dxa"/>
              <w:bottom w:w="80" w:type="dxa"/>
              <w:left w:w="80" w:type="dxa"/>
              <w:right w:w="80" w:type="dxa"/>
            </w:tcMar>
          </w:tcPr>
          <w:p>
            <w:r>
              <w:rPr>
                <w:rFonts w:ascii="Segoe UI" w:hAnsi="Segoe UI"/>
                <w:color w:val="0F172A"/>
                <w:sz w:val="16"/>
              </w:rPr>
              <w:t>Mantenimiento de Alumbrado Público</w:t>
            </w:r>
          </w:p>
        </w:tc>
        <w:tc>
          <w:tcPr>
            <w:tcW w:type="dxa" w:w="1728"/>
            <w:shd w:fill="F8FAFC"/>
            <w:tcMar>
              <w:top w:w="80" w:type="dxa"/>
              <w:bottom w:w="80" w:type="dxa"/>
              <w:left w:w="80" w:type="dxa"/>
              <w:right w:w="80" w:type="dxa"/>
            </w:tcMar>
          </w:tcPr>
          <w:p>
            <w:r>
              <w:rPr>
                <w:rFonts w:ascii="Segoe UI" w:hAnsi="Segoe UI"/>
                <w:color w:val="0F172A"/>
                <w:sz w:val="16"/>
              </w:rPr>
              <w:t>Puntos / Instal.</w:t>
            </w:r>
          </w:p>
        </w:tc>
        <w:tc>
          <w:tcPr>
            <w:tcW w:type="dxa" w:w="2304"/>
            <w:shd w:fill="F8FAFC"/>
            <w:tcMar>
              <w:top w:w="80" w:type="dxa"/>
              <w:bottom w:w="80" w:type="dxa"/>
              <w:left w:w="80" w:type="dxa"/>
              <w:right w:w="80" w:type="dxa"/>
            </w:tcMar>
          </w:tcPr>
          <w:p>
            <w:r>
              <w:rPr>
                <w:rFonts w:ascii="Segoe UI" w:hAnsi="Segoe UI"/>
                <w:b/>
                <w:color w:val="0B2545"/>
                <w:sz w:val="16"/>
              </w:rPr>
              <w:t>60.808 puntos</w:t>
            </w:r>
          </w:p>
        </w:tc>
        <w:tc>
          <w:tcPr>
            <w:tcW w:type="dxa" w:w="4320"/>
            <w:shd w:fill="F8FAFC"/>
            <w:tcMar>
              <w:top w:w="80" w:type="dxa"/>
              <w:bottom w:w="80" w:type="dxa"/>
              <w:left w:w="80" w:type="dxa"/>
              <w:right w:w="80" w:type="dxa"/>
            </w:tcMar>
          </w:tcPr>
          <w:p>
            <w:r>
              <w:rPr>
                <w:rFonts w:ascii="Segoe UI" w:hAnsi="Segoe UI"/>
                <w:color w:val="0F172A"/>
                <w:sz w:val="16"/>
              </w:rPr>
              <w:t>5% semestral sobre el parque nacional caracterizado (2.432.312 puntos totales).</w:t>
            </w:r>
          </w:p>
        </w:tc>
      </w:tr>
      <w:tr>
        <w:tc>
          <w:tcPr>
            <w:tcW w:type="dxa" w:w="1728"/>
            <w:shd w:fill="FFFFFF"/>
            <w:tcMar>
              <w:top w:w="80" w:type="dxa"/>
              <w:bottom w:w="80" w:type="dxa"/>
              <w:left w:w="80" w:type="dxa"/>
              <w:right w:w="80" w:type="dxa"/>
            </w:tcMar>
          </w:tcPr>
          <w:p>
            <w:r>
              <w:rPr>
                <w:rFonts w:ascii="Segoe UI" w:hAnsi="Segoe UI"/>
                <w:b/>
                <w:color w:val="059669"/>
                <w:sz w:val="16"/>
              </w:rPr>
              <w:t>PP</w:t>
            </w:r>
          </w:p>
        </w:tc>
        <w:tc>
          <w:tcPr>
            <w:tcW w:type="dxa" w:w="3600"/>
            <w:shd w:fill="FFFFFF"/>
            <w:tcMar>
              <w:top w:w="80" w:type="dxa"/>
              <w:bottom w:w="80" w:type="dxa"/>
              <w:left w:w="80" w:type="dxa"/>
              <w:right w:w="80" w:type="dxa"/>
            </w:tcMar>
          </w:tcPr>
          <w:p>
            <w:r>
              <w:rPr>
                <w:rFonts w:ascii="Segoe UI" w:hAnsi="Segoe UI"/>
                <w:color w:val="0F172A"/>
                <w:sz w:val="16"/>
              </w:rPr>
              <w:t>Pica y Poda en Corredores de Líneas</w:t>
            </w:r>
          </w:p>
        </w:tc>
        <w:tc>
          <w:tcPr>
            <w:tcW w:type="dxa" w:w="1728"/>
            <w:shd w:fill="FFFFFF"/>
            <w:tcMar>
              <w:top w:w="80" w:type="dxa"/>
              <w:bottom w:w="80" w:type="dxa"/>
              <w:left w:w="80" w:type="dxa"/>
              <w:right w:w="80" w:type="dxa"/>
            </w:tcMar>
          </w:tcPr>
          <w:p>
            <w:r>
              <w:rPr>
                <w:rFonts w:ascii="Segoe UI" w:hAnsi="Segoe UI"/>
                <w:color w:val="0F172A"/>
                <w:sz w:val="16"/>
              </w:rPr>
              <w:t>Kilómetros (km)</w:t>
            </w:r>
          </w:p>
        </w:tc>
        <w:tc>
          <w:tcPr>
            <w:tcW w:type="dxa" w:w="2304"/>
            <w:shd w:fill="FFFFFF"/>
            <w:tcMar>
              <w:top w:w="80" w:type="dxa"/>
              <w:bottom w:w="80" w:type="dxa"/>
              <w:left w:w="80" w:type="dxa"/>
              <w:right w:w="80" w:type="dxa"/>
            </w:tcMar>
          </w:tcPr>
          <w:p>
            <w:r>
              <w:rPr>
                <w:rFonts w:ascii="Segoe UI" w:hAnsi="Segoe UI"/>
                <w:b/>
                <w:color w:val="0B2545"/>
                <w:sz w:val="16"/>
              </w:rPr>
              <w:t>64.162 km</w:t>
            </w:r>
          </w:p>
        </w:tc>
        <w:tc>
          <w:tcPr>
            <w:tcW w:type="dxa" w:w="4320"/>
            <w:shd w:fill="FFFFFF"/>
            <w:tcMar>
              <w:top w:w="80" w:type="dxa"/>
              <w:bottom w:w="80" w:type="dxa"/>
              <w:left w:w="80" w:type="dxa"/>
              <w:right w:w="80" w:type="dxa"/>
            </w:tcMar>
          </w:tcPr>
          <w:p>
            <w:r>
              <w:rPr>
                <w:rFonts w:ascii="Segoe UI" w:hAnsi="Segoe UI"/>
                <w:color w:val="0F172A"/>
                <w:sz w:val="16"/>
              </w:rPr>
              <w:t>Circuitos con historial de disparos por causa Vegetación / Condiciones Atmosféricas.</w:t>
            </w:r>
          </w:p>
        </w:tc>
      </w:tr>
      <w:tr>
        <w:tc>
          <w:tcPr>
            <w:tcW w:type="dxa" w:w="1728"/>
            <w:shd w:fill="F8FAFC"/>
            <w:tcMar>
              <w:top w:w="80" w:type="dxa"/>
              <w:bottom w:w="80" w:type="dxa"/>
              <w:left w:w="80" w:type="dxa"/>
              <w:right w:w="80" w:type="dxa"/>
            </w:tcMar>
          </w:tcPr>
          <w:p>
            <w:r>
              <w:rPr>
                <w:rFonts w:ascii="Segoe UI" w:hAnsi="Segoe UI"/>
                <w:b/>
                <w:color w:val="059669"/>
                <w:sz w:val="16"/>
              </w:rPr>
              <w:t>SE</w:t>
            </w:r>
          </w:p>
        </w:tc>
        <w:tc>
          <w:tcPr>
            <w:tcW w:type="dxa" w:w="3600"/>
            <w:shd w:fill="F8FAFC"/>
            <w:tcMar>
              <w:top w:w="80" w:type="dxa"/>
              <w:bottom w:w="80" w:type="dxa"/>
              <w:left w:w="80" w:type="dxa"/>
              <w:right w:w="80" w:type="dxa"/>
            </w:tcMar>
          </w:tcPr>
          <w:p>
            <w:r>
              <w:rPr>
                <w:rFonts w:ascii="Segoe UI" w:hAnsi="Segoe UI"/>
                <w:color w:val="0F172A"/>
                <w:sz w:val="16"/>
              </w:rPr>
              <w:t>Mantenimiento de Subestaciones</w:t>
            </w:r>
          </w:p>
        </w:tc>
        <w:tc>
          <w:tcPr>
            <w:tcW w:type="dxa" w:w="1728"/>
            <w:shd w:fill="F8FAFC"/>
            <w:tcMar>
              <w:top w:w="80" w:type="dxa"/>
              <w:bottom w:w="80" w:type="dxa"/>
              <w:left w:w="80" w:type="dxa"/>
              <w:right w:w="80" w:type="dxa"/>
            </w:tcMar>
          </w:tcPr>
          <w:p>
            <w:r>
              <w:rPr>
                <w:rFonts w:ascii="Segoe UI" w:hAnsi="Segoe UI"/>
                <w:color w:val="0F172A"/>
                <w:sz w:val="16"/>
              </w:rPr>
              <w:t>Instalaciones</w:t>
            </w:r>
          </w:p>
        </w:tc>
        <w:tc>
          <w:tcPr>
            <w:tcW w:type="dxa" w:w="2304"/>
            <w:shd w:fill="F8FAFC"/>
            <w:tcMar>
              <w:top w:w="80" w:type="dxa"/>
              <w:bottom w:w="80" w:type="dxa"/>
              <w:left w:w="80" w:type="dxa"/>
              <w:right w:w="80" w:type="dxa"/>
            </w:tcMar>
          </w:tcPr>
          <w:p>
            <w:r>
              <w:rPr>
                <w:rFonts w:ascii="Segoe UI" w:hAnsi="Segoe UI"/>
                <w:b/>
                <w:color w:val="0B2545"/>
                <w:sz w:val="16"/>
              </w:rPr>
              <w:t>415 subestaciones</w:t>
            </w:r>
          </w:p>
        </w:tc>
        <w:tc>
          <w:tcPr>
            <w:tcW w:type="dxa" w:w="4320"/>
            <w:shd w:fill="F8FAFC"/>
            <w:tcMar>
              <w:top w:w="80" w:type="dxa"/>
              <w:bottom w:w="80" w:type="dxa"/>
              <w:left w:w="80" w:type="dxa"/>
              <w:right w:w="80" w:type="dxa"/>
            </w:tcMar>
          </w:tcPr>
          <w:p>
            <w:r>
              <w:rPr>
                <w:rFonts w:ascii="Segoe UI" w:hAnsi="Segoe UI"/>
                <w:color w:val="0F172A"/>
                <w:sz w:val="16"/>
              </w:rPr>
              <w:t>Mantenimiento electromecánico integral a subestaciones de distribución prioritarias.</w:t>
            </w:r>
          </w:p>
        </w:tc>
      </w:tr>
      <w:tr>
        <w:tc>
          <w:tcPr>
            <w:tcW w:type="dxa" w:w="1728"/>
            <w:shd w:fill="FFFFFF"/>
            <w:tcMar>
              <w:top w:w="80" w:type="dxa"/>
              <w:bottom w:w="80" w:type="dxa"/>
              <w:left w:w="80" w:type="dxa"/>
              <w:right w:w="80" w:type="dxa"/>
            </w:tcMar>
          </w:tcPr>
          <w:p>
            <w:r>
              <w:rPr>
                <w:rFonts w:ascii="Segoe UI" w:hAnsi="Segoe UI"/>
                <w:b/>
                <w:color w:val="059669"/>
                <w:sz w:val="16"/>
              </w:rPr>
              <w:t>MIMT / MT</w:t>
            </w:r>
          </w:p>
        </w:tc>
        <w:tc>
          <w:tcPr>
            <w:tcW w:type="dxa" w:w="3600"/>
            <w:shd w:fill="FFFFFF"/>
            <w:tcMar>
              <w:top w:w="80" w:type="dxa"/>
              <w:bottom w:w="80" w:type="dxa"/>
              <w:left w:w="80" w:type="dxa"/>
              <w:right w:w="80" w:type="dxa"/>
            </w:tcMar>
          </w:tcPr>
          <w:p>
            <w:r>
              <w:rPr>
                <w:rFonts w:ascii="Segoe UI" w:hAnsi="Segoe UI"/>
                <w:color w:val="0F172A"/>
                <w:sz w:val="16"/>
              </w:rPr>
              <w:t>Mantenimiento Integral de Media Tensión</w:t>
            </w:r>
          </w:p>
        </w:tc>
        <w:tc>
          <w:tcPr>
            <w:tcW w:type="dxa" w:w="1728"/>
            <w:shd w:fill="FFFFFF"/>
            <w:tcMar>
              <w:top w:w="80" w:type="dxa"/>
              <w:bottom w:w="80" w:type="dxa"/>
              <w:left w:w="80" w:type="dxa"/>
              <w:right w:w="80" w:type="dxa"/>
            </w:tcMar>
          </w:tcPr>
          <w:p>
            <w:r>
              <w:rPr>
                <w:rFonts w:ascii="Segoe UI" w:hAnsi="Segoe UI"/>
                <w:color w:val="0F172A"/>
                <w:sz w:val="16"/>
              </w:rPr>
              <w:t>Circuitos</w:t>
            </w:r>
          </w:p>
        </w:tc>
        <w:tc>
          <w:tcPr>
            <w:tcW w:type="dxa" w:w="2304"/>
            <w:shd w:fill="FFFFFF"/>
            <w:tcMar>
              <w:top w:w="80" w:type="dxa"/>
              <w:bottom w:w="80" w:type="dxa"/>
              <w:left w:w="80" w:type="dxa"/>
              <w:right w:w="80" w:type="dxa"/>
            </w:tcMar>
          </w:tcPr>
          <w:p>
            <w:r>
              <w:rPr>
                <w:rFonts w:ascii="Segoe UI" w:hAnsi="Segoe UI"/>
                <w:b/>
                <w:color w:val="0B2545"/>
                <w:sz w:val="16"/>
              </w:rPr>
              <w:t>965 circuitos</w:t>
            </w:r>
          </w:p>
        </w:tc>
        <w:tc>
          <w:tcPr>
            <w:tcW w:type="dxa" w:w="4320"/>
            <w:shd w:fill="FFFFFF"/>
            <w:tcMar>
              <w:top w:w="80" w:type="dxa"/>
              <w:bottom w:w="80" w:type="dxa"/>
              <w:left w:w="80" w:type="dxa"/>
              <w:right w:w="80" w:type="dxa"/>
            </w:tcMar>
          </w:tcPr>
          <w:p>
            <w:r>
              <w:rPr>
                <w:rFonts w:ascii="Segoe UI" w:hAnsi="Segoe UI"/>
                <w:color w:val="0F172A"/>
                <w:sz w:val="16"/>
              </w:rPr>
              <w:t>Circuitos de alto impacto ponderado por la fórmula oficial de criticidad (60% NDI + 40% TTI).</w:t>
            </w:r>
          </w:p>
        </w:tc>
      </w:tr>
      <w:tr>
        <w:tc>
          <w:tcPr>
            <w:tcW w:type="dxa" w:w="1728"/>
            <w:shd w:fill="F8FAFC"/>
            <w:tcMar>
              <w:top w:w="80" w:type="dxa"/>
              <w:bottom w:w="80" w:type="dxa"/>
              <w:left w:w="80" w:type="dxa"/>
              <w:right w:w="80" w:type="dxa"/>
            </w:tcMar>
          </w:tcPr>
          <w:p>
            <w:r>
              <w:rPr>
                <w:rFonts w:ascii="Segoe UI" w:hAnsi="Segoe UI"/>
                <w:b/>
                <w:color w:val="059669"/>
                <w:sz w:val="16"/>
              </w:rPr>
              <w:t>BT</w:t>
            </w:r>
          </w:p>
        </w:tc>
        <w:tc>
          <w:tcPr>
            <w:tcW w:type="dxa" w:w="3600"/>
            <w:shd w:fill="F8FAFC"/>
            <w:tcMar>
              <w:top w:w="80" w:type="dxa"/>
              <w:bottom w:w="80" w:type="dxa"/>
              <w:left w:w="80" w:type="dxa"/>
              <w:right w:w="80" w:type="dxa"/>
            </w:tcMar>
          </w:tcPr>
          <w:p>
            <w:r>
              <w:rPr>
                <w:rFonts w:ascii="Segoe UI" w:hAnsi="Segoe UI"/>
                <w:color w:val="0F172A"/>
                <w:sz w:val="16"/>
              </w:rPr>
              <w:t>Mantenimiento de Redes de Baja Tensión</w:t>
            </w:r>
          </w:p>
        </w:tc>
        <w:tc>
          <w:tcPr>
            <w:tcW w:type="dxa" w:w="1728"/>
            <w:shd w:fill="F8FAFC"/>
            <w:tcMar>
              <w:top w:w="80" w:type="dxa"/>
              <w:bottom w:w="80" w:type="dxa"/>
              <w:left w:w="80" w:type="dxa"/>
              <w:right w:w="80" w:type="dxa"/>
            </w:tcMar>
          </w:tcPr>
          <w:p>
            <w:r>
              <w:rPr>
                <w:rFonts w:ascii="Segoe UI" w:hAnsi="Segoe UI"/>
                <w:color w:val="0F172A"/>
                <w:sz w:val="16"/>
              </w:rPr>
              <w:t>Sectores</w:t>
            </w:r>
          </w:p>
        </w:tc>
        <w:tc>
          <w:tcPr>
            <w:tcW w:type="dxa" w:w="2304"/>
            <w:shd w:fill="F8FAFC"/>
            <w:tcMar>
              <w:top w:w="80" w:type="dxa"/>
              <w:bottom w:w="80" w:type="dxa"/>
              <w:left w:w="80" w:type="dxa"/>
              <w:right w:w="80" w:type="dxa"/>
            </w:tcMar>
          </w:tcPr>
          <w:p>
            <w:r>
              <w:rPr>
                <w:rFonts w:ascii="Segoe UI" w:hAnsi="Segoe UI"/>
                <w:b/>
                <w:color w:val="0B2545"/>
                <w:sz w:val="16"/>
              </w:rPr>
              <w:t>7.114 sectores</w:t>
            </w:r>
          </w:p>
        </w:tc>
        <w:tc>
          <w:tcPr>
            <w:tcW w:type="dxa" w:w="4320"/>
            <w:shd w:fill="F8FAFC"/>
            <w:tcMar>
              <w:top w:w="80" w:type="dxa"/>
              <w:bottom w:w="80" w:type="dxa"/>
              <w:left w:w="80" w:type="dxa"/>
              <w:right w:w="80" w:type="dxa"/>
            </w:tcMar>
          </w:tcPr>
          <w:p>
            <w:r>
              <w:rPr>
                <w:rFonts w:ascii="Segoe UI" w:hAnsi="Segoe UI"/>
                <w:color w:val="0F172A"/>
                <w:sz w:val="16"/>
              </w:rPr>
              <w:t>Sectores asociados a Transformadores Fallados / Quemados durante el ejercicio 2025.</w:t>
            </w:r>
          </w:p>
        </w:tc>
      </w:tr>
    </w:tbl>
    <w:p>
      <w:pPr>
        <w:spacing w:after="120"/>
      </w:pPr>
    </w:p>
    <w:p>
      <w:pPr>
        <w:keepNext/>
        <w:spacing w:before="280" w:after="80"/>
      </w:pPr>
      <w:r>
        <w:rPr>
          <w:rFonts w:ascii="Segoe UI" w:hAnsi="Segoe UI"/>
          <w:b/>
          <w:color w:val="0B2545"/>
          <w:sz w:val="26"/>
        </w:rPr>
        <w:t>4. Fórmulas Matemáticas y Reglas de Negocio Oficiales</w:t>
      </w:r>
    </w:p>
    <w:p>
      <w:pPr>
        <w:spacing w:before="0" w:after="80" w:line="276" w:lineRule="auto"/>
      </w:pPr>
      <w:r>
        <w:rPr>
          <w:rFonts w:ascii="Segoe UI" w:hAnsi="Segoe UI"/>
          <w:color w:val="0F172A"/>
          <w:sz w:val="19"/>
        </w:rPr>
        <w:t>Extraídas de las directrices normativas de la Gerencia Nacional de Gestión de Planificación (Memorandos GGP-M-001 al GGP-M-024):</w:t>
      </w:r>
    </w:p>
    <w:tbl>
      <w:tblPr>
        <w:tblW w:type="auto" w:w="0"/>
        <w:jc w:val="center"/>
        <w:tblLook w:firstColumn="1" w:firstRow="1" w:lastColumn="0" w:lastRow="0" w:noHBand="0" w:noVBand="1" w:val="04A0"/>
      </w:tblPr>
      <w:tblGrid>
        <w:gridCol w:w="13680"/>
      </w:tblGrid>
      <w:tr>
        <w:tc>
          <w:tcPr>
            <w:tcW w:type="dxa" w:w="13680"/>
            <w:shd w:fill="FFFBEB"/>
            <w:tcMar>
              <w:top w:w="100" w:type="dxa"/>
              <w:bottom w:w="100" w:type="dxa"/>
              <w:left w:w="150" w:type="dxa"/>
              <w:right w:w="150" w:type="dxa"/>
            </w:tcMar>
            <w:tcBorders>
              <w:left w:val="single" w:sz="24" w:space="0" w:color="D97706"/>
              <w:top w:val="none"/>
              <w:right w:val="none"/>
              <w:bottom w:val="none"/>
            </w:tcBorders>
          </w:tcPr>
          <w:p>
            <w:pPr>
              <w:spacing w:after="0"/>
            </w:pPr>
            <w:r>
              <w:rPr>
                <w:rFonts w:ascii="Segoe UI" w:hAnsi="Segoe UI"/>
                <w:b/>
                <w:color w:val="0B2545"/>
                <w:sz w:val="19"/>
              </w:rPr>
              <w:t>REGLA OFICIAL DE SELECCIÓN DE CIRCUITOS MIMT</w:t>
              <w:br/>
            </w:r>
            <w:r>
              <w:rPr>
                <w:rFonts w:ascii="Segoe UI" w:hAnsi="Segoe UI"/>
                <w:color w:val="0F172A"/>
                <w:sz w:val="18"/>
              </w:rPr>
              <w:t>Fórmula de Criticidad:  Impacto del Circuito = (0.60 × NDI) + (0.40 × TTI)</w:t>
              <w:br/>
              <w:br/>
              <w:t>• Criterio de Pareto (60%): Se ordenan los circuitos de mayor a menor impacto acumulado, interviniendo aquellos que explican el 60% del impacto total en el estado.</w:t>
              <w:br/>
              <w:t>• Cota Mínima Obligatoria: En ningún caso la meta estadal puede ser inferior al 10% del total de circuitos operativos de la entidad federal.</w:t>
              <w:br/>
              <w:t>• Filtro de Restricciones: Se priorizan los circuitos con restricciones registradas en la cartera PRTSEN.</w:t>
            </w:r>
          </w:p>
        </w:tc>
      </w:tr>
    </w:tbl>
    <w:p>
      <w:pPr>
        <w:spacing w:after="60"/>
      </w:pPr>
    </w:p>
    <w:tbl>
      <w:tblPr>
        <w:tblW w:type="auto" w:w="0"/>
        <w:jc w:val="center"/>
        <w:tblLook w:firstColumn="1" w:firstRow="1" w:lastColumn="0" w:lastRow="0" w:noHBand="0" w:noVBand="1" w:val="04A0"/>
      </w:tblPr>
      <w:tblGrid>
        <w:gridCol w:w="13680"/>
      </w:tblGrid>
      <w:tr>
        <w:tc>
          <w:tcPr>
            <w:tcW w:type="dxa" w:w="13680"/>
            <w:shd w:fill="F0FDF4"/>
            <w:tcMar>
              <w:top w:w="100" w:type="dxa"/>
              <w:bottom w:w="100" w:type="dxa"/>
              <w:left w:w="150" w:type="dxa"/>
              <w:right w:w="150" w:type="dxa"/>
            </w:tcMar>
            <w:tcBorders>
              <w:left w:val="single" w:sz="24" w:space="0" w:color="059669"/>
              <w:top w:val="none"/>
              <w:right w:val="none"/>
              <w:bottom w:val="none"/>
            </w:tcBorders>
          </w:tcPr>
          <w:p>
            <w:pPr>
              <w:spacing w:after="0"/>
            </w:pPr>
            <w:r>
              <w:rPr>
                <w:rFonts w:ascii="Segoe UI" w:hAnsi="Segoe UI"/>
                <w:b/>
                <w:color w:val="0B2545"/>
                <w:sz w:val="19"/>
              </w:rPr>
              <w:t>REGLA OFICIAL DE MANTENIMIENTO DE BAJA TENSIÓN (BT)</w:t>
              <w:br/>
            </w:r>
            <w:r>
              <w:rPr>
                <w:rFonts w:ascii="Segoe UI" w:hAnsi="Segoe UI"/>
                <w:color w:val="0F172A"/>
                <w:sz w:val="18"/>
              </w:rPr>
              <w:t>• Base de Cálculo: Transformadores fallados/quemados durante el año anterior (ejercicio 2025).</w:t>
              <w:br/>
              <w:t>• Regla Preventiva: Cada estado debe incluir obligatoriamente dentro del plan los sectores alimentados por cada transformador fallado, corrigiendo balance de cargas, acometidas y sobrecargas para evitar la recurrencia del daño.</w:t>
            </w:r>
          </w:p>
        </w:tc>
      </w:tr>
    </w:tbl>
    <w:p>
      <w:pPr>
        <w:spacing w:after="60"/>
      </w:pPr>
    </w:p>
    <w:p>
      <w:pPr>
        <w:keepNext/>
        <w:spacing w:before="280" w:after="80"/>
      </w:pPr>
      <w:r>
        <w:rPr>
          <w:rFonts w:ascii="Segoe UI" w:hAnsi="Segoe UI"/>
          <w:b/>
          <w:color w:val="0B2545"/>
          <w:sz w:val="26"/>
        </w:rPr>
        <w:t>5. Matriz de Mapeo de Software en el Repositorio Maestro</w:t>
      </w:r>
    </w:p>
    <w:p>
      <w:pPr>
        <w:spacing w:before="0" w:after="80" w:line="276" w:lineRule="auto"/>
      </w:pPr>
      <w:r>
        <w:rPr>
          <w:rFonts w:ascii="Segoe UI" w:hAnsi="Segoe UI"/>
          <w:color w:val="0F172A"/>
          <w:sz w:val="19"/>
        </w:rPr>
        <w:t>La siguiente tabla articula la responsabilidad operativa y el flujo de datos de cada aplicación refactorizada: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420"/>
        <w:gridCol w:w="3420"/>
        <w:gridCol w:w="3420"/>
        <w:gridCol w:w="3420"/>
      </w:tblGrid>
      <w:tr>
        <w:tc>
          <w:tcPr>
            <w:tcW w:type="dxa" w:w="2592"/>
            <w:shd w:fill="0B2545"/>
            <w:tcMar>
              <w:top w:w="100" w:type="dxa"/>
              <w:bottom w:w="100" w:type="dxa"/>
              <w:left w:w="100" w:type="dxa"/>
              <w:right w:w="100" w:type="dxa"/>
            </w:tcMar>
          </w:tcPr>
          <w:p>
            <w:pPr>
              <w:jc w:val="center"/>
            </w:pPr>
            <w:r>
              <w:rPr>
                <w:rFonts w:ascii="Segoe UI" w:hAnsi="Segoe UI"/>
                <w:b/>
                <w:color w:val="FFFFFF"/>
                <w:sz w:val="17"/>
              </w:rPr>
              <w:t>Módulo de Software</w:t>
            </w:r>
          </w:p>
        </w:tc>
        <w:tc>
          <w:tcPr>
            <w:tcW w:type="dxa" w:w="3168"/>
            <w:shd w:fill="0B2545"/>
            <w:tcMar>
              <w:top w:w="100" w:type="dxa"/>
              <w:bottom w:w="100" w:type="dxa"/>
              <w:left w:w="100" w:type="dxa"/>
              <w:right w:w="100" w:type="dxa"/>
            </w:tcMar>
          </w:tcPr>
          <w:p>
            <w:pPr>
              <w:jc w:val="center"/>
            </w:pPr>
            <w:r>
              <w:rPr>
                <w:rFonts w:ascii="Segoe UI" w:hAnsi="Segoe UI"/>
                <w:b/>
                <w:color w:val="FFFFFF"/>
                <w:sz w:val="17"/>
              </w:rPr>
              <w:t>Puerto &amp; Ecosistema</w:t>
            </w:r>
          </w:p>
        </w:tc>
        <w:tc>
          <w:tcPr>
            <w:tcW w:type="dxa" w:w="3600"/>
            <w:shd w:fill="0B2545"/>
            <w:tcMar>
              <w:top w:w="100" w:type="dxa"/>
              <w:bottom w:w="100" w:type="dxa"/>
              <w:left w:w="100" w:type="dxa"/>
              <w:right w:w="100" w:type="dxa"/>
            </w:tcMar>
          </w:tcPr>
          <w:p>
            <w:pPr>
              <w:jc w:val="center"/>
            </w:pPr>
            <w:r>
              <w:rPr>
                <w:rFonts w:ascii="Segoe UI" w:hAnsi="Segoe UI"/>
                <w:b/>
                <w:color w:val="FFFFFF"/>
                <w:sz w:val="17"/>
              </w:rPr>
              <w:t>Nivel de Medición &amp; Alcance</w:t>
            </w:r>
          </w:p>
        </w:tc>
        <w:tc>
          <w:tcPr>
            <w:tcW w:type="dxa" w:w="4320"/>
            <w:shd w:fill="0B2545"/>
            <w:tcMar>
              <w:top w:w="100" w:type="dxa"/>
              <w:bottom w:w="100" w:type="dxa"/>
              <w:left w:w="100" w:type="dxa"/>
              <w:right w:w="100" w:type="dxa"/>
            </w:tcMar>
          </w:tcPr>
          <w:p>
            <w:pPr>
              <w:jc w:val="center"/>
            </w:pPr>
            <w:r>
              <w:rPr>
                <w:rFonts w:ascii="Segoe UI" w:hAnsi="Segoe UI"/>
                <w:b/>
                <w:color w:val="FFFFFF"/>
                <w:sz w:val="17"/>
              </w:rPr>
              <w:t>Responsabilidad Funcional en el Repositorio</w:t>
            </w:r>
          </w:p>
        </w:tc>
      </w:tr>
      <w:tr>
        <w:tc>
          <w:tcPr>
            <w:tcW w:type="dxa" w:w="2592"/>
            <w:shd w:fill="F8FAFC"/>
            <w:tcMar>
              <w:top w:w="80" w:type="dxa"/>
              <w:bottom w:w="80" w:type="dxa"/>
              <w:left w:w="80" w:type="dxa"/>
              <w:right w:w="80" w:type="dxa"/>
            </w:tcMar>
          </w:tcPr>
          <w:p>
            <w:r>
              <w:rPr>
                <w:rFonts w:ascii="Segoe UI" w:hAnsi="Segoe UI"/>
                <w:b/>
                <w:color w:val="0B2545"/>
                <w:sz w:val="16"/>
              </w:rPr>
              <w:t>SIGI-REF</w:t>
            </w:r>
          </w:p>
        </w:tc>
        <w:tc>
          <w:tcPr>
            <w:tcW w:type="dxa" w:w="3168"/>
            <w:shd w:fill="F8FAFC"/>
            <w:tcMar>
              <w:top w:w="80" w:type="dxa"/>
              <w:bottom w:w="80" w:type="dxa"/>
              <w:left w:w="80" w:type="dxa"/>
              <w:right w:w="80" w:type="dxa"/>
            </w:tcMar>
          </w:tcPr>
          <w:p>
            <w:r>
              <w:rPr>
                <w:rFonts w:ascii="Segoe UI" w:hAnsi="Segoe UI"/>
                <w:color w:val="0F172A"/>
                <w:sz w:val="16"/>
              </w:rPr>
              <w:t>Puerto 3001 (InsForge sigi.*)</w:t>
            </w:r>
          </w:p>
        </w:tc>
        <w:tc>
          <w:tcPr>
            <w:tcW w:type="dxa" w:w="3600"/>
            <w:shd w:fill="F8FAFC"/>
            <w:tcMar>
              <w:top w:w="80" w:type="dxa"/>
              <w:bottom w:w="80" w:type="dxa"/>
              <w:left w:w="80" w:type="dxa"/>
              <w:right w:w="80" w:type="dxa"/>
            </w:tcMar>
          </w:tcPr>
          <w:p>
            <w:r>
              <w:rPr>
                <w:rFonts w:ascii="Segoe UI" w:hAnsi="Segoe UI"/>
                <w:b/>
                <w:color w:val="134074"/>
                <w:sz w:val="16"/>
              </w:rPr>
              <w:t>Consolidación Nacional (1er y 2do Nivel)</w:t>
            </w:r>
          </w:p>
        </w:tc>
        <w:tc>
          <w:tcPr>
            <w:tcW w:type="dxa" w:w="4320"/>
            <w:shd w:fill="F8FAFC"/>
            <w:tcMar>
              <w:top w:w="80" w:type="dxa"/>
              <w:bottom w:w="80" w:type="dxa"/>
              <w:left w:w="80" w:type="dxa"/>
              <w:right w:w="80" w:type="dxa"/>
            </w:tcMar>
          </w:tcPr>
          <w:p>
            <w:r>
              <w:rPr>
                <w:rFonts w:ascii="Segoe UI" w:hAnsi="Segoe UI"/>
                <w:color w:val="0F172A"/>
                <w:sz w:val="16"/>
              </w:rPr>
              <w:t>Consola Central Ejecutiva: Ingesta dinámica, comparación de metas programadas vs ejecución real, auditoría ISO 8000.</w:t>
            </w:r>
          </w:p>
        </w:tc>
      </w:tr>
      <w:tr>
        <w:tc>
          <w:tcPr>
            <w:tcW w:type="dxa" w:w="2592"/>
            <w:shd w:fill="FFFFFF"/>
            <w:tcMar>
              <w:top w:w="80" w:type="dxa"/>
              <w:bottom w:w="80" w:type="dxa"/>
              <w:left w:w="80" w:type="dxa"/>
              <w:right w:w="80" w:type="dxa"/>
            </w:tcMar>
          </w:tcPr>
          <w:p>
            <w:r>
              <w:rPr>
                <w:rFonts w:ascii="Segoe UI" w:hAnsi="Segoe UI"/>
                <w:b/>
                <w:color w:val="0B2545"/>
                <w:sz w:val="16"/>
              </w:rPr>
              <w:t>SCTIS-REF</w:t>
            </w:r>
          </w:p>
        </w:tc>
        <w:tc>
          <w:tcPr>
            <w:tcW w:type="dxa" w:w="3168"/>
            <w:shd w:fill="FFFFFF"/>
            <w:tcMar>
              <w:top w:w="80" w:type="dxa"/>
              <w:bottom w:w="80" w:type="dxa"/>
              <w:left w:w="80" w:type="dxa"/>
              <w:right w:w="80" w:type="dxa"/>
            </w:tcMar>
          </w:tcPr>
          <w:p>
            <w:r>
              <w:rPr>
                <w:rFonts w:ascii="Segoe UI" w:hAnsi="Segoe UI"/>
                <w:color w:val="0F172A"/>
                <w:sz w:val="16"/>
              </w:rPr>
              <w:t>Puerto 3002 (InsForge sctis.*)</w:t>
            </w:r>
          </w:p>
        </w:tc>
        <w:tc>
          <w:tcPr>
            <w:tcW w:type="dxa" w:w="3600"/>
            <w:shd w:fill="FFFFFF"/>
            <w:tcMar>
              <w:top w:w="80" w:type="dxa"/>
              <w:bottom w:w="80" w:type="dxa"/>
              <w:left w:w="80" w:type="dxa"/>
              <w:right w:w="80" w:type="dxa"/>
            </w:tcMar>
          </w:tcPr>
          <w:p>
            <w:r>
              <w:rPr>
                <w:rFonts w:ascii="Segoe UI" w:hAnsi="Segoe UI"/>
                <w:b/>
                <w:color w:val="0284C7"/>
                <w:sz w:val="16"/>
              </w:rPr>
              <w:t>1ER NIVEL: Calidad de Servicio y Despacho</w:t>
            </w:r>
          </w:p>
        </w:tc>
        <w:tc>
          <w:tcPr>
            <w:tcW w:type="dxa" w:w="4320"/>
            <w:shd w:fill="FFFFFF"/>
            <w:tcMar>
              <w:top w:w="80" w:type="dxa"/>
              <w:bottom w:w="80" w:type="dxa"/>
              <w:left w:w="80" w:type="dxa"/>
              <w:right w:w="80" w:type="dxa"/>
            </w:tcMar>
          </w:tcPr>
          <w:p>
            <w:r>
              <w:rPr>
                <w:rFonts w:ascii="Segoe UI" w:hAnsi="Segoe UI"/>
                <w:color w:val="0F172A"/>
                <w:sz w:val="16"/>
              </w:rPr>
              <w:t>Tiras de interrupción, homologación automática de alias de activos, cálculo instantáneo de TTI, FMI, NDI, DPI y RIND.</w:t>
            </w:r>
          </w:p>
        </w:tc>
      </w:tr>
      <w:tr>
        <w:tc>
          <w:tcPr>
            <w:tcW w:type="dxa" w:w="2592"/>
            <w:shd w:fill="F8FAFC"/>
            <w:tcMar>
              <w:top w:w="80" w:type="dxa"/>
              <w:bottom w:w="80" w:type="dxa"/>
              <w:left w:w="80" w:type="dxa"/>
              <w:right w:w="80" w:type="dxa"/>
            </w:tcMar>
          </w:tcPr>
          <w:p>
            <w:r>
              <w:rPr>
                <w:rFonts w:ascii="Segoe UI" w:hAnsi="Segoe UI"/>
                <w:b/>
                <w:color w:val="0B2545"/>
                <w:sz w:val="16"/>
              </w:rPr>
              <w:t>SCMTP-REF</w:t>
            </w:r>
          </w:p>
        </w:tc>
        <w:tc>
          <w:tcPr>
            <w:tcW w:type="dxa" w:w="3168"/>
            <w:shd w:fill="F8FAFC"/>
            <w:tcMar>
              <w:top w:w="80" w:type="dxa"/>
              <w:bottom w:w="80" w:type="dxa"/>
              <w:left w:w="80" w:type="dxa"/>
              <w:right w:w="80" w:type="dxa"/>
            </w:tcMar>
          </w:tcPr>
          <w:p>
            <w:r>
              <w:rPr>
                <w:rFonts w:ascii="Segoe UI" w:hAnsi="Segoe UI"/>
                <w:color w:val="0F172A"/>
                <w:sz w:val="16"/>
              </w:rPr>
              <w:t>Puerto 3003 (InsForge scmtp.*)</w:t>
            </w:r>
          </w:p>
        </w:tc>
        <w:tc>
          <w:tcPr>
            <w:tcW w:type="dxa" w:w="3600"/>
            <w:shd w:fill="F8FAFC"/>
            <w:tcMar>
              <w:top w:w="80" w:type="dxa"/>
              <w:bottom w:w="80" w:type="dxa"/>
              <w:left w:w="80" w:type="dxa"/>
              <w:right w:w="80" w:type="dxa"/>
            </w:tcMar>
          </w:tcPr>
          <w:p>
            <w:r>
              <w:rPr>
                <w:rFonts w:ascii="Segoe UI" w:hAnsi="Segoe UI"/>
                <w:b/>
                <w:color w:val="059669"/>
                <w:sz w:val="16"/>
              </w:rPr>
              <w:t>2DO NIVEL: Tareas, Minutas y Pica y Poda</w:t>
            </w:r>
          </w:p>
        </w:tc>
        <w:tc>
          <w:tcPr>
            <w:tcW w:type="dxa" w:w="4320"/>
            <w:shd w:fill="F8FAFC"/>
            <w:tcMar>
              <w:top w:w="80" w:type="dxa"/>
              <w:bottom w:w="80" w:type="dxa"/>
              <w:left w:w="80" w:type="dxa"/>
              <w:right w:w="80" w:type="dxa"/>
            </w:tcMar>
          </w:tcPr>
          <w:p>
            <w:r>
              <w:rPr>
                <w:rFonts w:ascii="Segoe UI" w:hAnsi="Segoe UI"/>
                <w:color w:val="0F172A"/>
                <w:sz w:val="16"/>
              </w:rPr>
              <w:t>Gestor de compromisos de videoconferencias, asignación a responsables con fecha límite, seguimiento de tareas de campo.</w:t>
            </w:r>
          </w:p>
        </w:tc>
      </w:tr>
      <w:tr>
        <w:tc>
          <w:tcPr>
            <w:tcW w:type="dxa" w:w="2592"/>
            <w:shd w:fill="FFFFFF"/>
            <w:tcMar>
              <w:top w:w="80" w:type="dxa"/>
              <w:bottom w:w="80" w:type="dxa"/>
              <w:left w:w="80" w:type="dxa"/>
              <w:right w:w="80" w:type="dxa"/>
            </w:tcMar>
          </w:tcPr>
          <w:p>
            <w:r>
              <w:rPr>
                <w:rFonts w:ascii="Segoe UI" w:hAnsi="Segoe UI"/>
                <w:b/>
                <w:color w:val="0B2545"/>
                <w:sz w:val="16"/>
              </w:rPr>
              <w:t>SCPPE-REF</w:t>
            </w:r>
          </w:p>
        </w:tc>
        <w:tc>
          <w:tcPr>
            <w:tcW w:type="dxa" w:w="3168"/>
            <w:shd w:fill="FFFFFF"/>
            <w:tcMar>
              <w:top w:w="80" w:type="dxa"/>
              <w:bottom w:w="80" w:type="dxa"/>
              <w:left w:w="80" w:type="dxa"/>
              <w:right w:w="80" w:type="dxa"/>
            </w:tcMar>
          </w:tcPr>
          <w:p>
            <w:r>
              <w:rPr>
                <w:rFonts w:ascii="Segoe UI" w:hAnsi="Segoe UI"/>
                <w:color w:val="0F172A"/>
                <w:sz w:val="16"/>
              </w:rPr>
              <w:t>Puerto 3004 (InsForge scppe.*)</w:t>
            </w:r>
          </w:p>
        </w:tc>
        <w:tc>
          <w:tcPr>
            <w:tcW w:type="dxa" w:w="3600"/>
            <w:shd w:fill="FFFFFF"/>
            <w:tcMar>
              <w:top w:w="80" w:type="dxa"/>
              <w:bottom w:w="80" w:type="dxa"/>
              <w:left w:w="80" w:type="dxa"/>
              <w:right w:w="80" w:type="dxa"/>
            </w:tcMar>
          </w:tcPr>
          <w:p>
            <w:r>
              <w:rPr>
                <w:rFonts w:ascii="Segoe UI" w:hAnsi="Segoe UI"/>
                <w:b/>
                <w:color w:val="134074"/>
                <w:sz w:val="16"/>
              </w:rPr>
              <w:t>ESTRATÉGICO: Planificación SEN, POA y PRTSEN</w:t>
            </w:r>
          </w:p>
        </w:tc>
        <w:tc>
          <w:tcPr>
            <w:tcW w:type="dxa" w:w="4320"/>
            <w:shd w:fill="FFFFFF"/>
            <w:tcMar>
              <w:top w:w="80" w:type="dxa"/>
              <w:bottom w:w="80" w:type="dxa"/>
              <w:left w:w="80" w:type="dxa"/>
              <w:right w:w="80" w:type="dxa"/>
            </w:tcMar>
          </w:tcPr>
          <w:p>
            <w:r>
              <w:rPr>
                <w:rFonts w:ascii="Segoe UI" w:hAnsi="Segoe UI"/>
                <w:color w:val="0F172A"/>
                <w:sz w:val="16"/>
              </w:rPr>
              <w:t>Asistente de Formulación POA en 4 pasos, gestión de 821 proyectos PRTSEN (2025-2031), árbol core.dim_organizaciones y viáticos.</w:t>
            </w:r>
          </w:p>
        </w:tc>
      </w:tr>
      <w:tr>
        <w:tc>
          <w:tcPr>
            <w:tcW w:type="dxa" w:w="2592"/>
            <w:shd w:fill="F8FAFC"/>
            <w:tcMar>
              <w:top w:w="80" w:type="dxa"/>
              <w:bottom w:w="80" w:type="dxa"/>
              <w:left w:w="80" w:type="dxa"/>
              <w:right w:w="80" w:type="dxa"/>
            </w:tcMar>
          </w:tcPr>
          <w:p>
            <w:r>
              <w:rPr>
                <w:rFonts w:ascii="Segoe UI" w:hAnsi="Segoe UI"/>
                <w:b/>
                <w:color w:val="0B2545"/>
                <w:sz w:val="16"/>
              </w:rPr>
              <w:t>SCEIN-REF</w:t>
            </w:r>
          </w:p>
        </w:tc>
        <w:tc>
          <w:tcPr>
            <w:tcW w:type="dxa" w:w="3168"/>
            <w:shd w:fill="F8FAFC"/>
            <w:tcMar>
              <w:top w:w="80" w:type="dxa"/>
              <w:bottom w:w="80" w:type="dxa"/>
              <w:left w:w="80" w:type="dxa"/>
              <w:right w:w="80" w:type="dxa"/>
            </w:tcMar>
          </w:tcPr>
          <w:p>
            <w:r>
              <w:rPr>
                <w:rFonts w:ascii="Segoe UI" w:hAnsi="Segoe UI"/>
                <w:color w:val="0F172A"/>
                <w:sz w:val="16"/>
              </w:rPr>
              <w:t>Puerto 3005 (InsForge scein.*)</w:t>
            </w:r>
          </w:p>
        </w:tc>
        <w:tc>
          <w:tcPr>
            <w:tcW w:type="dxa" w:w="3600"/>
            <w:shd w:fill="F8FAFC"/>
            <w:tcMar>
              <w:top w:w="80" w:type="dxa"/>
              <w:bottom w:w="80" w:type="dxa"/>
              <w:left w:w="80" w:type="dxa"/>
              <w:right w:w="80" w:type="dxa"/>
            </w:tcMar>
          </w:tcPr>
          <w:p>
            <w:r>
              <w:rPr>
                <w:rFonts w:ascii="Segoe UI" w:hAnsi="Segoe UI"/>
                <w:b/>
                <w:color w:val="059669"/>
                <w:sz w:val="16"/>
              </w:rPr>
              <w:t>2DO NIVEL: Subestaciones e Indisponibilidad</w:t>
            </w:r>
          </w:p>
        </w:tc>
        <w:tc>
          <w:tcPr>
            <w:tcW w:type="dxa" w:w="4320"/>
            <w:shd w:fill="F8FAFC"/>
            <w:tcMar>
              <w:top w:w="80" w:type="dxa"/>
              <w:bottom w:w="80" w:type="dxa"/>
              <w:left w:w="80" w:type="dxa"/>
              <w:right w:w="80" w:type="dxa"/>
            </w:tcMar>
          </w:tcPr>
          <w:p>
            <w:r>
              <w:rPr>
                <w:rFonts w:ascii="Segoe UI" w:hAnsi="Segoe UI"/>
                <w:color w:val="0F172A"/>
                <w:sz w:val="16"/>
              </w:rPr>
              <w:t>Catálogo en vivo de transformadores de potencia y disyuntores indisponibles, semáforo de criticidad por S/E y auditoría ISO 55000.</w:t>
            </w:r>
          </w:p>
        </w:tc>
      </w:tr>
      <w:tr>
        <w:tc>
          <w:tcPr>
            <w:tcW w:type="dxa" w:w="2592"/>
            <w:shd w:fill="FFFFFF"/>
            <w:tcMar>
              <w:top w:w="80" w:type="dxa"/>
              <w:bottom w:w="80" w:type="dxa"/>
              <w:left w:w="80" w:type="dxa"/>
              <w:right w:w="80" w:type="dxa"/>
            </w:tcMar>
          </w:tcPr>
          <w:p>
            <w:r>
              <w:rPr>
                <w:rFonts w:ascii="Segoe UI" w:hAnsi="Segoe UI"/>
                <w:b/>
                <w:color w:val="0B2545"/>
                <w:sz w:val="16"/>
              </w:rPr>
              <w:t>SCGCC-REF</w:t>
            </w:r>
          </w:p>
        </w:tc>
        <w:tc>
          <w:tcPr>
            <w:tcW w:type="dxa" w:w="3168"/>
            <w:shd w:fill="FFFFFF"/>
            <w:tcMar>
              <w:top w:w="80" w:type="dxa"/>
              <w:bottom w:w="80" w:type="dxa"/>
              <w:left w:w="80" w:type="dxa"/>
              <w:right w:w="80" w:type="dxa"/>
            </w:tcMar>
          </w:tcPr>
          <w:p>
            <w:r>
              <w:rPr>
                <w:rFonts w:ascii="Segoe UI" w:hAnsi="Segoe UI"/>
                <w:color w:val="0F172A"/>
                <w:sz w:val="16"/>
              </w:rPr>
              <w:t>Puerto 3006 (InsForge scgcc.*)</w:t>
            </w:r>
          </w:p>
        </w:tc>
        <w:tc>
          <w:tcPr>
            <w:tcW w:type="dxa" w:w="3600"/>
            <w:shd w:fill="FFFFFF"/>
            <w:tcMar>
              <w:top w:w="80" w:type="dxa"/>
              <w:bottom w:w="80" w:type="dxa"/>
              <w:left w:w="80" w:type="dxa"/>
              <w:right w:w="80" w:type="dxa"/>
            </w:tcMar>
          </w:tcPr>
          <w:p>
            <w:r>
              <w:rPr>
                <w:rFonts w:ascii="Segoe UI" w:hAnsi="Segoe UI"/>
                <w:b/>
                <w:color w:val="134074"/>
                <w:sz w:val="16"/>
              </w:rPr>
              <w:t>TRAZABILIDAD: Correspondencia Corporativa</w:t>
            </w:r>
          </w:p>
        </w:tc>
        <w:tc>
          <w:tcPr>
            <w:tcW w:type="dxa" w:w="4320"/>
            <w:shd w:fill="FFFFFF"/>
            <w:tcMar>
              <w:top w:w="80" w:type="dxa"/>
              <w:bottom w:w="80" w:type="dxa"/>
              <w:left w:w="80" w:type="dxa"/>
              <w:right w:w="80" w:type="dxa"/>
            </w:tcMar>
          </w:tcPr>
          <w:p>
            <w:r>
              <w:rPr>
                <w:rFonts w:ascii="Segoe UI" w:hAnsi="Segoe UI"/>
                <w:color w:val="0F172A"/>
                <w:sz w:val="16"/>
              </w:rPr>
              <w:t>Gestión Cero Papel con Hash SHA-256 inmutable, código QR de verificación y derivación de oficios a tareas en SCMTP.</w:t>
            </w:r>
          </w:p>
        </w:tc>
      </w:tr>
    </w:tbl>
    <w:p>
      <w:pPr>
        <w:spacing w:after="120"/>
      </w:pPr>
    </w:p>
    <w:p>
      <w:pPr>
        <w:keepNext/>
        <w:spacing w:before="280" w:after="80"/>
      </w:pPr>
      <w:r>
        <w:rPr>
          <w:rFonts w:ascii="Segoe UI" w:hAnsi="Segoe UI"/>
          <w:b/>
          <w:color w:val="0B2545"/>
          <w:sz w:val="26"/>
        </w:rPr>
        <w:t>6. Certificación de Grado Industrial y Hoja de Ruta</w:t>
      </w:r>
    </w:p>
    <w:p>
      <w:pPr>
        <w:pStyle w:val="ListBullet"/>
        <w:spacing w:before="0" w:after="40" w:line="276" w:lineRule="auto"/>
      </w:pPr>
      <w:r>
        <w:rPr>
          <w:rFonts w:ascii="Segoe UI" w:hAnsi="Segoe UI"/>
          <w:b/>
          <w:color w:val="0B2545"/>
          <w:sz w:val="19"/>
        </w:rPr>
        <w:t xml:space="preserve">Gobernanza ISO 8000-110: </w:t>
      </w:r>
      <w:r>
        <w:rPr>
          <w:rFonts w:ascii="Segoe UI" w:hAnsi="Segoe UI"/>
          <w:color w:val="0F172A"/>
          <w:sz w:val="19"/>
        </w:rPr>
        <w:t>La base de datos relacional InsForge PostgreSQL (ggpd-data-maestra-0002) erradica la duplicidad de subestaciones y circuitos mediante el esquema centralizado core.*.</w:t>
      </w:r>
    </w:p>
    <w:p>
      <w:pPr>
        <w:pStyle w:val="ListBullet"/>
        <w:spacing w:before="0" w:after="40" w:line="276" w:lineRule="auto"/>
      </w:pPr>
      <w:r>
        <w:rPr>
          <w:rFonts w:ascii="Segoe UI" w:hAnsi="Segoe UI"/>
          <w:b/>
          <w:color w:val="0B2545"/>
          <w:sz w:val="19"/>
        </w:rPr>
        <w:t xml:space="preserve">Gestión de Activos ISO 55000: </w:t>
      </w:r>
      <w:r>
        <w:rPr>
          <w:rFonts w:ascii="Segoe UI" w:hAnsi="Segoe UI"/>
          <w:color w:val="0F172A"/>
          <w:sz w:val="19"/>
        </w:rPr>
        <w:t>Toda indisponibilidad de transformador o disparo de circuito se asocia directamente al código de activo en core.mae_subestaciones y core.mae_circuitos.</w:t>
      </w:r>
    </w:p>
    <w:p>
      <w:pPr>
        <w:pStyle w:val="ListBullet"/>
        <w:spacing w:before="0" w:after="40" w:line="276" w:lineRule="auto"/>
      </w:pPr>
      <w:r>
        <w:rPr>
          <w:rFonts w:ascii="Segoe UI" w:hAnsi="Segoe UI"/>
          <w:b/>
          <w:color w:val="0B2545"/>
          <w:sz w:val="19"/>
        </w:rPr>
        <w:t xml:space="preserve">Seguridad ISO/IEC 27001: </w:t>
      </w:r>
      <w:r>
        <w:rPr>
          <w:rFonts w:ascii="Segoe UI" w:hAnsi="Segoe UI"/>
          <w:color w:val="0F172A"/>
          <w:sz w:val="19"/>
        </w:rPr>
        <w:t>Las seis aplicaciones operan con cifrado de grado industrial, Row Level Security (RLS) y autenticación unificada.</w:t>
      </w:r>
    </w:p>
    <w:sectPr w:rsidR="00FC693F" w:rsidRPr="0006063C" w:rsidSect="00034616">
      <w:headerReference w:type="default" r:id="rId9"/>
      <w:footerReference w:type="default" r:id="rId10"/>
      <w:pgSz w:w="15840" w:h="12240" w:orient="landscape"/>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6"/>
      </w:rPr>
      <w:t>Marco Lógico de Metas 2026 · Certificación Industrial SEN · ISO 8000-110 · ISO 55000 · ISO 27001 · ISACA COBIT 2019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CORPOELEC · GERENCIA GENERAL DE PLANIFICACIÓN DE DISTRIBUCIÓN (GGPD) | DOC-GGPD-2026-METAS-001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