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34074"/>
          <w:sz w:val="20"/>
        </w:rPr>
        <w:t>CORPORACIÓN ELÉCTRICA NACIONAL (CORPOELEC) — GGPD / GGD</w:t>
        <w:br/>
      </w:r>
      <w:r>
        <w:rPr>
          <w:rFonts w:ascii="Segoe UI" w:hAnsi="Segoe UI"/>
          <w:b/>
          <w:color w:val="0B2545"/>
          <w:sz w:val="34"/>
        </w:rPr>
        <w:t>DIAGNÓSTICO ESTRUCTURAL, ANÁLISIS DEL REPOSITORIO GGC Y MODELO OPERATIVO REAL DE PROCESOS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B2545"/>
                <w:sz w:val="16"/>
              </w:rPr>
              <w:t xml:space="preserve">Código Documental: </w:t>
            </w:r>
            <w:r>
              <w:rPr>
                <w:rFonts w:ascii="Segoe UI" w:hAnsi="Segoe UI"/>
                <w:color w:val="0F172A"/>
                <w:sz w:val="16"/>
              </w:rPr>
              <w:t>DOC-GGPD-2026-DIAG-PROC-001</w:t>
            </w:r>
          </w:p>
        </w:tc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B2545"/>
                <w:sz w:val="16"/>
              </w:rPr>
              <w:t xml:space="preserve">Fecha de Emisión: </w:t>
            </w:r>
            <w:r>
              <w:rPr>
                <w:rFonts w:ascii="Segoe UI" w:hAnsi="Segoe UI"/>
                <w:color w:val="0F172A"/>
                <w:sz w:val="16"/>
              </w:rPr>
              <w:t>26 de Agosto de 2026</w:t>
            </w:r>
          </w:p>
        </w:tc>
        <w:tc>
          <w:tcPr>
            <w:tcW w:type="dxa" w:w="360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B2545"/>
                <w:sz w:val="16"/>
              </w:rPr>
              <w:t xml:space="preserve">Área Técnica Emisora: </w:t>
            </w:r>
            <w:r>
              <w:rPr>
                <w:rFonts w:ascii="Segoe UI" w:hAnsi="Segoe UI"/>
                <w:color w:val="0F172A"/>
                <w:sz w:val="16"/>
              </w:rPr>
              <w:t>Equipo Automatización e IA GGPD</w:t>
            </w:r>
          </w:p>
        </w:tc>
        <w:tc>
          <w:tcPr>
            <w:tcW w:type="dxa" w:w="360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B2545"/>
                <w:sz w:val="16"/>
              </w:rPr>
              <w:t xml:space="preserve">Marco Normativo: </w:t>
            </w:r>
            <w:r>
              <w:rPr>
                <w:rFonts w:ascii="Segoe UI" w:hAnsi="Segoe UI"/>
                <w:color w:val="0F172A"/>
                <w:sz w:val="16"/>
              </w:rPr>
              <w:t>ISO 8000 / 55000 / 27001 / COBIT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0B2545"/>
          <w:sz w:val="26"/>
        </w:rPr>
        <w:t>1. Resumen Ejecutivo &amp; Diagnóstico Forense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La auditoría analítica y forense practicada sobre el repositorio institucional /repo_ggc (contentivo de 1,400 archivos y 285 directorios) revela la radiografía exacta del ecosistema de gestión técnica, operativa y de planificación de la Gerencia General de Distribución (GGD) y su Gerencia de Gestión de Planificación de Distribución (GGPD).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El análisis confirma que la organización padece una fragmentación procedimental y conceptual crítica, originada en la coexistencia no resuelta de tres eras organizacionales: (1) Las Ex-Operadoras pre-2007 (CADAFE, EDC, ENELVEN, ELEVAL) con culturas y nomenclaturas dispares; (2) La Centralización Administrativa (2007-2020) que unificó lo jurídico pero desarticuló la gestión de campo hacia la reactividad; y (3) La Hiper-Fiscalización Digital (2021-2026) con canales paralelos de reporte (1x10 del Buen Gobierno, WhatsApp) que desbordan las estructuras presupuestarias formales (POA).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shd w:fill="FFF1F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E11D48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B2545"/>
                <w:sz w:val="19"/>
              </w:rPr>
              <w:t>DIAGNÓSTICO ARQUITECTÓNICO FUNDAMENTAL</w:t>
              <w:br/>
            </w:r>
            <w:r>
              <w:rPr>
                <w:rFonts w:ascii="Segoe UI" w:hAnsi="Segoe UI"/>
                <w:color w:val="0F172A"/>
                <w:sz w:val="18"/>
              </w:rPr>
              <w:t>Dictamen Técnico: La confusión de los trabajadores y la dificultad para definir requerimientos de software no se debe a incapacidad técnica, sino a la ausencia histórica de un Modelo Canónico de Datos. Cada departamento solicita automatizar "su" hoja de cálculo local sin visibilidad de las variables de primer y segundo nivel.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0B2545"/>
          <w:sz w:val="26"/>
        </w:rPr>
        <w:t>2. Radiografía Integral y Taxonomía de /repo_ggc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El ecosistema de 1,400 archivos se clasifica en 5 macro-estructuras con propósitos y herramientas heterogéneas: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59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Macro-Componente</w:t>
            </w:r>
          </w:p>
        </w:tc>
        <w:tc>
          <w:tcPr>
            <w:tcW w:type="dxa" w:w="3168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Contenido Clave Detectado</w:t>
            </w:r>
          </w:p>
        </w:tc>
        <w:tc>
          <w:tcPr>
            <w:tcW w:type="dxa" w:w="2016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Formatos / Herramientas</w:t>
            </w:r>
          </w:p>
        </w:tc>
        <w:tc>
          <w:tcPr>
            <w:tcW w:type="dxa" w:w="331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Objeto de Medición</w:t>
            </w:r>
          </w:p>
        </w:tc>
        <w:tc>
          <w:tcPr>
            <w:tcW w:type="dxa" w:w="259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Hallazgo Crítico Operativo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1. 1x10 del Buen Gobierno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20 presentaciones diarias ejecutivas (Julio-Agosto 2026). Resumen diario de luminarias y transformadores.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Microsoft PowerPoint (.PPT)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Luminarias encendidas, transformadores quemados sustituidos, casos VenApp.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Canal de máxima prioridad política. Opera completamente desconectado del plan de mantenimiento preventivo formal.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2. _PTRSEN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821 proyectos estadales de adecuación y rehabilitación. Levantamiento de 660 transformadores de potencia y 3,892 interruptores.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Excel (.xlsx), Fichas Tipo por Estado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Capacidad instalada (MVA), kilometraje de circuitos a readecuar, presupuesto USD.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Modelo híbrido desvinculado del POA en Bolívares. Proyectos valorados sin techo presupuestario asignado.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3. _Seg. y Control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007 Indicadores 1er Nivel (Tiras, RIND), 010 Metas 2026, 001 Avance de Planes (AP, PP, BT, RO, EI, Materiales), 006 Transformadores WhatsApp.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Excel (.xls, .xlsx, .xlsm), Word (.docx)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1er Nivel: TTI, FMI, NDI, DPI. 2do Nivel: AP, P&amp;P, SE, MT, BT, RO, EI.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Epicentro del desgaste técnico. Consolidación manual de 24 libros Excel con desfases temporales y aprobaciones de TRX en chats.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4. _Gerencia Nacional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Minutas de Videoconferencias post-sismo (26-0002 a 04), Correlativo de correspondencia GGP, Evaluaciones de desempeño trimestrales.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PDF, Word (.doc), Excel (.xlsm)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Asignación de compromisos, teletrabajo Santa Rosa, oficios institucionales.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Compromisos en minutas PDF archivadas sin sistema de seguimiento de tareas (SCMTP) ni trazabilidad de cumplimiento.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5. Z_INF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Modelos de Normalización de Subestaciones y Circuitos, Códigos Organizativos, Plantillas de Cierre.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Excel (.xls, .xlsx)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Data maestra primaria, estructura de personal, circuitos.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Intentos previos de normalización que no perduraron por carecer de base de datos relacional (RDBMS) y plataforma web.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0B2545"/>
          <w:sz w:val="26"/>
        </w:rPr>
        <w:t>3. Matriz de Desconexión de Procesos (Islas Operativas)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La siguiente matriz expone los quiebres de flujo de información entre departamentos, donde se pierde la continuidad del dato: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168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Proceso Origen</w:t>
            </w:r>
          </w:p>
        </w:tc>
        <w:tc>
          <w:tcPr>
            <w:tcW w:type="dxa" w:w="3168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Proceso Destino</w:t>
            </w:r>
          </w:p>
        </w:tc>
        <w:tc>
          <w:tcPr>
            <w:tcW w:type="dxa" w:w="259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Estado de Conexión</w:t>
            </w:r>
          </w:p>
        </w:tc>
        <w:tc>
          <w:tcPr>
            <w:tcW w:type="dxa" w:w="475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Consecuencia Operativa / Impacto en la Red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Atención 1x10 (Luminarias y Transformadores)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Gestión de Activos y Redes (SSEE / Circuitos)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E11D48"/>
                <w:sz w:val="16"/>
              </w:rPr>
              <w:t>🔴 TOTALMENTE DESCONECTADO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Se instalan transformadores de emergencia aprobados por WhatsApp sin registrar el serial COVENIN ni actualizar el diagrama unifilar y la hoja de carga del circuito (Violación ISO 55000).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Tiras de Interrupción (SCTIS - 1er Nivel)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Programación de Pica y Poda / MTTO (2do Nivel)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D97706"/>
                <w:sz w:val="16"/>
              </w:rPr>
              <w:t>🟠 DÉBILMENTE CONECTADO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Las cuadrillas de pica y poda limpian líneas por conveniencia geográfica o requerimiento municipal, en lugar de priorizar los "Circuitos Más Fallados" identificados en el reporte de interrupciones.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Restricciones Operativas (RO en 24 Excels)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Formulación Presupuestaria (POA / Procura)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D97706"/>
                <w:sz w:val="16"/>
              </w:rPr>
              <w:t>🟠 PARCIALMENTE CONECTADO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Se levantan 24 libros Excel con miles de aisladores y seccionadores dañados, pero Procura Central adquiere materiales genéricos sin relación con las prioridades de campo.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Equipos Indisponibles en Subestaciones (SCEIN)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Mantenimiento Mayor de Potencia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E11D48"/>
                <w:sz w:val="16"/>
              </w:rPr>
              <w:t>🔴 SILO AISLADO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Los transformadores de potencia y disyuntores fuera de servicio se registran en una hoja estática que no dispara órdenes de trabajo automáticas a las cuadrillas de Transmisión/Distribución.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Correspondencia Institucional (Oficios/Minutas)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Seguimiento de Tareas y Minutas (SCMTP)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E11D48"/>
                <w:sz w:val="16"/>
              </w:rPr>
              <w:t>🔴 PÉRDIDA TRAZABILIDAD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Las instrucciones emitidas en memorandos presidenciales o minutas se archivan como PDF en carpetas locales sin seguimiento de compromisos con fecha límite y responsable.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0B2545"/>
          <w:sz w:val="26"/>
        </w:rPr>
        <w:t>4. Metas Nacionales 2026 e Indicadores de 1er y 2do Nivel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La siguiente tabla consolida las metas oficiales fijadas en los instrumentos de METAS 2026 1ER Y 2DO NIVEL.xlsx y los reportes semanales de interrupciones: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1296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456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Indicador / Actividad</w:t>
            </w:r>
          </w:p>
        </w:tc>
        <w:tc>
          <w:tcPr>
            <w:tcW w:type="dxa" w:w="187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Unidad de Medida</w:t>
            </w:r>
          </w:p>
        </w:tc>
        <w:tc>
          <w:tcPr>
            <w:tcW w:type="dxa" w:w="2304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Meta Nacional 2026</w:t>
            </w:r>
          </w:p>
        </w:tc>
        <w:tc>
          <w:tcPr>
            <w:tcW w:type="dxa" w:w="475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Significado Físico / Estratégico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284C7"/>
                <w:sz w:val="16"/>
              </w:rPr>
              <w:t>1° Nivel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Tiempo Total de Interrupciones (TTI)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Horas / Año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42.79 hrs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Promedio de horas que un usuario del SEN permanece sin energía eléctrica al año.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284C7"/>
                <w:sz w:val="16"/>
              </w:rPr>
              <w:t>1° Nivel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Frecuencia Media de Interrupciones (FMI)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Interrupciones / Año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42.49 int / cte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Cantidad promedio de veces que un usuario sufre un corte de servicio al año.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284C7"/>
                <w:sz w:val="16"/>
              </w:rPr>
              <w:t>1° Nivel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Número de Interrupciones (NDI)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Eventos totales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150,347 fallas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Volumen total absoluto de disparos de circuitos de distribución a nivel nacional.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284C7"/>
                <w:sz w:val="16"/>
              </w:rPr>
              <w:t>1° Nivel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Duración Promedio de Interrupciones (DPI)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Horas / Evento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1.007 hrs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Tiempo medio que tarda una cuadrilla en restablecer el servicio tras una falla.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284C7"/>
                <w:sz w:val="16"/>
              </w:rPr>
              <w:t>1° Nivel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Régimen de Interrupciones no Prog. (RIND)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Índice Ponderado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RIND V5 Oficial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Indicador de severidad de interrupciones no programadas en función de la carga afectada.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59669"/>
                <w:sz w:val="16"/>
              </w:rPr>
              <w:t>2° Nivel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Mantenimiento Alumbrado Público (AP)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Luminarias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60,808 puntos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Meta física nacional de sustitución y reparación de luminarias viales y comunitarias.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59669"/>
                <w:sz w:val="16"/>
              </w:rPr>
              <w:t>2° Nivel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Pica y Poda / Corredores de Líneas (P&amp;P)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Kilómetros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64,162 km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Desmalezamiento y despeje de vegetación en servidumbres de líneas de media tensión.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59669"/>
                <w:sz w:val="16"/>
              </w:rPr>
              <w:t>2° Nivel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Mantenimiento de Subestaciones (SE)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Instalaciones S/E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415 subestaciones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Mantenimiento preventivo electromecánico en patios, barras, celdas y bancos de baterías.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59669"/>
                <w:sz w:val="16"/>
              </w:rPr>
              <w:t>2° Nivel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Mantenimiento Redes Media Tensión (MT)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Circuitos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965 circuitos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Normalización de aislamiento, herrajes, seccionadores y cortacorrientes en troncales MT.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59669"/>
                <w:sz w:val="16"/>
              </w:rPr>
              <w:t>2° Nivel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Mantenimiento Sectores Baja Tensión (BT)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Sectores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7,114 sectores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Reemplazo de conectores, acometidas, tableros y balanceo de cargas en transformadores.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0B2545"/>
          <w:sz w:val="26"/>
        </w:rPr>
        <w:t>5. Correspondencia: De la Patología en repo_ggc a la Solución en el Repositorio Maestro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La siguiente tabla mapea cómo los 6 sistemas del Repositorio Maestro erradican el retrabajo identificado: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2880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Instrumento en /repo_ggc</w:t>
            </w:r>
          </w:p>
        </w:tc>
        <w:tc>
          <w:tcPr>
            <w:tcW w:type="dxa" w:w="3600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Patología Actual (Causa de Retrabajo)</w:t>
            </w:r>
          </w:p>
        </w:tc>
        <w:tc>
          <w:tcPr>
            <w:tcW w:type="dxa" w:w="3168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Módulo Solución en Repositorio Maestro</w:t>
            </w:r>
          </w:p>
        </w:tc>
        <w:tc>
          <w:tcPr>
            <w:tcW w:type="dxa" w:w="403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Beneficio Directo / Cero Retrabajo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007 INDICADORES 1ER NIVEL (Tiras y RIND V5.xlsm)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Transcripción manual de tiras de despacho, macros propensas a corrupción y cálculo RIND con 60 días de atraso.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59669"/>
                <w:sz w:val="16"/>
              </w:rPr>
              <w:t>SCTIS-REF (Puerto 3002 / InsForge sctis.*)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Ingesta digital, homologación automática de alias de activos (cat_asset_alias) y cálculo en tiempo real de TTI, FMI, NDI y DPI.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003 EQUIPOS INDISPONIBLES + 006 LEV TRX POTENCIA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Libros Excel estáticos sin trazabilidad; disyuntores y transformadores quemados no generan órdenes correctivas.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59669"/>
                <w:sz w:val="16"/>
              </w:rPr>
              <w:t>SCEIN-REF (Puerto 3005 / InsForge scein.*)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Catálogo en vivo de indisponibilidad con semáforo de criticidad por S/E, gestión de contingencia N-1 y auditoría ISO 55000.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_PTRSEN (005 PROYECTOS) + Z - POA RESTRICCIONES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821 fichas aisladas en 24 carpetas, valoradas en USD e incompatibles con el presupuesto nacional en Bolívares.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59669"/>
                <w:sz w:val="16"/>
              </w:rPr>
              <w:t>SCPPE-REF (Puerto 3004 / InsForge scppe.*)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Asistente de Formulación POA en 4 pasos, integración de 821 obras PRTSEN y árbol organizacional recursivo (dim_organizaciones).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Minutas VC GGPD + Avance Tareas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Minutas en PDF de Google Meet con acuerdos que se olvidan o no tienen fecha de corte ni responsable formal.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59669"/>
                <w:sz w:val="16"/>
              </w:rPr>
              <w:t>SCMTP-REF (Puerto 3003 / InsForge scmtp.*)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Gestor estructurado de acuerdos de videoconferencia, responsables asignados, semáforo de vencimiento y trazabilidad ISO 9001.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Gestion de Correspondencia GGP + PDF CORRESP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Registro manual en Excel (CORRELATIVO GGP.xlsx), oficios extraviados y firmas manuales vulnerables.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59669"/>
                <w:sz w:val="16"/>
              </w:rPr>
              <w:t>SCGCC-REF (Puerto 3006 / InsForge scgcc.*)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Cero Papel con firma hash SHA-256 inmutable, código QR de validación pública y derivación automática de oficios a tareas en SCMTP.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B2545"/>
                <w:sz w:val="16"/>
              </w:rPr>
              <w:t>010 REGISTROS 2026 + 1x10 del Buen Gobierno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PPTs diarios elaborados a mano, 24 Excels de AP, P&amp;P y BT consolidados con fórmulas rotas y canales de WhatsApp.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59669"/>
                <w:sz w:val="16"/>
              </w:rPr>
              <w:t>SIGI-REF (Puerto 3001 / InsForge sigi.*)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0F172A"/>
                <w:sz w:val="16"/>
              </w:rPr>
              <w:t>Consola central con formularios web dinámicos, validación previa de esquemas ISO 8000 y dashboards ejecutivos en tiempo real.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0B2545"/>
          <w:sz w:val="26"/>
        </w:rPr>
        <w:t>6. Conclusiones y Hoja de Ruta Estratégica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B2545"/>
          <w:sz w:val="19"/>
        </w:rPr>
        <w:t xml:space="preserve">1. Diagnóstico Estructural: </w:t>
      </w:r>
      <w:r>
        <w:rPr>
          <w:rFonts w:ascii="Segoe UI" w:hAnsi="Segoe UI"/>
          <w:color w:val="0F172A"/>
          <w:sz w:val="19"/>
        </w:rPr>
        <w:t>La confusión en los requerimientos de software no responde a falta de capacidad del personal, sino al choque de modelos: conviven visiones de las ex-operadoras descentralizadas con la centralización corporativa y las urgencias del 1x10.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B2545"/>
          <w:sz w:val="19"/>
        </w:rPr>
        <w:t xml:space="preserve">2. Principio Arquitectónico: </w:t>
      </w:r>
      <w:r>
        <w:rPr>
          <w:rFonts w:ascii="Segoe UI" w:hAnsi="Segoe UI"/>
          <w:color w:val="0F172A"/>
          <w:sz w:val="19"/>
        </w:rPr>
        <w:t>La solución definitiva no es construir más herramientas aisladas que repliquen hojas de cálculo, sino consolidar la operación sobre los 6 sistemas web ya construidos y desplegados en VibeHost.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B2545"/>
          <w:sz w:val="19"/>
        </w:rPr>
        <w:t xml:space="preserve">3. Data Maestra Universal: </w:t>
      </w:r>
      <w:r>
        <w:rPr>
          <w:rFonts w:ascii="Segoe UI" w:hAnsi="Segoe UI"/>
          <w:color w:val="0F172A"/>
          <w:sz w:val="19"/>
        </w:rPr>
        <w:t>El catálogo core.mae_subestaciones (871 nodos) y core.mae_circuitos (4,207 circuitos) en InsForge BaaS es la única fuente de verdad certificada bajo norma ISO 8000-110.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B2545"/>
          <w:sz w:val="19"/>
        </w:rPr>
        <w:t xml:space="preserve">4. Plan de Adopción: </w:t>
      </w:r>
      <w:r>
        <w:rPr>
          <w:rFonts w:ascii="Segoe UI" w:hAnsi="Segoe UI"/>
          <w:color w:val="0F172A"/>
          <w:sz w:val="19"/>
        </w:rPr>
        <w:t>Se debe instruir a las 24 gerencias estadales a suspender el envío de hojas Excel por correo o WhatsApp y realizar el registro directo en los portales web oficiales.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64748B"/>
        <w:sz w:val="16"/>
      </w:rPr>
      <w:t>Auditoría Forense de Procesos &amp; Modelo de Negocios SEN · ISO 8000 / ISO 55000 / ISO 27001 / COBIT 2019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CORPOELEC · GERENCIA GENERAL DE DISTRIBUCIÓN (GGPD) | DOC-GGPD-2026-DIAG-PROC-001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