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34074"/>
          <w:sz w:val="20"/>
        </w:rPr>
        <w:t>CORPORACIÓN ELÉCTRICA NACIONAL (CORPOELEC) — GGPD / GGD</w:t>
        <w:br/>
      </w:r>
      <w:r>
        <w:rPr>
          <w:rFonts w:ascii="Segoe UI" w:hAnsi="Segoe UI"/>
          <w:b/>
          <w:color w:val="0B2545"/>
          <w:sz w:val="32"/>
        </w:rPr>
        <w:t>DICTAMEN TÉCNICO Y ARQUITECTÓNICO: GOBERNANZA DE SOFTWARE, SEGUIMIENTO DE INDICADORES Y CANALES DE CONTROL</w:t>
      </w:r>
    </w:p>
    <w:tbl>
      <w:tblPr>
        <w:tblW w:type="auto" w:w="0"/>
        <w:jc w:val="center"/>
        <w:tblLook w:firstColumn="1" w:firstRow="1" w:lastColumn="0" w:lastRow="0" w:noHBand="0" w:noVBand="1" w:val="04A0"/>
      </w:tblPr>
      <w:tblGrid>
        <w:gridCol w:w="3420"/>
        <w:gridCol w:w="3420"/>
        <w:gridCol w:w="3420"/>
        <w:gridCol w:w="3420"/>
      </w:tblGrid>
      <w:tr>
        <w:tc>
          <w:tcPr>
            <w:tcW w:type="dxa" w:w="3168"/>
            <w:shd w:fill="F1F5F9"/>
            <w:tcMar>
              <w:top w:w="60" w:type="dxa"/>
              <w:bottom w:w="60" w:type="dxa"/>
              <w:left w:w="80" w:type="dxa"/>
              <w:right w:w="80" w:type="dxa"/>
            </w:tcMar>
          </w:tcPr>
          <w:p>
            <w:pPr>
              <w:spacing w:after="0"/>
            </w:pPr>
            <w:r>
              <w:rPr>
                <w:rFonts w:ascii="Segoe UI" w:hAnsi="Segoe UI"/>
                <w:b/>
                <w:color w:val="0B2545"/>
                <w:sz w:val="16"/>
              </w:rPr>
              <w:t xml:space="preserve">Código Documental: </w:t>
            </w:r>
            <w:r>
              <w:rPr>
                <w:rFonts w:ascii="Segoe UI" w:hAnsi="Segoe UI"/>
                <w:color w:val="0F172A"/>
                <w:sz w:val="16"/>
              </w:rPr>
              <w:t>DOC-GGPD-2026-GOB-001</w:t>
            </w:r>
          </w:p>
        </w:tc>
        <w:tc>
          <w:tcPr>
            <w:tcW w:type="dxa" w:w="3312"/>
            <w:shd w:fill="F1F5F9"/>
            <w:tcMar>
              <w:top w:w="60" w:type="dxa"/>
              <w:bottom w:w="60" w:type="dxa"/>
              <w:left w:w="80" w:type="dxa"/>
              <w:right w:w="80" w:type="dxa"/>
            </w:tcMar>
          </w:tcPr>
          <w:p>
            <w:pPr>
              <w:spacing w:after="0"/>
            </w:pPr>
            <w:r>
              <w:rPr>
                <w:rFonts w:ascii="Segoe UI" w:hAnsi="Segoe UI"/>
                <w:b/>
                <w:color w:val="0B2545"/>
                <w:sz w:val="16"/>
              </w:rPr>
              <w:t xml:space="preserve">Fecha de Emisión: </w:t>
            </w:r>
            <w:r>
              <w:rPr>
                <w:rFonts w:ascii="Segoe UI" w:hAnsi="Segoe UI"/>
                <w:color w:val="0F172A"/>
                <w:sz w:val="16"/>
              </w:rPr>
              <w:t>26 de Agosto de 2026</w:t>
            </w:r>
          </w:p>
        </w:tc>
        <w:tc>
          <w:tcPr>
            <w:tcW w:type="dxa" w:w="3600"/>
            <w:shd w:fill="F1F5F9"/>
            <w:tcMar>
              <w:top w:w="60" w:type="dxa"/>
              <w:bottom w:w="60" w:type="dxa"/>
              <w:left w:w="80" w:type="dxa"/>
              <w:right w:w="80" w:type="dxa"/>
            </w:tcMar>
          </w:tcPr>
          <w:p>
            <w:pPr>
              <w:spacing w:after="0"/>
            </w:pPr>
            <w:r>
              <w:rPr>
                <w:rFonts w:ascii="Segoe UI" w:hAnsi="Segoe UI"/>
                <w:b/>
                <w:color w:val="0B2545"/>
                <w:sz w:val="16"/>
              </w:rPr>
              <w:t xml:space="preserve">Área Técnica Emisora: </w:t>
            </w:r>
            <w:r>
              <w:rPr>
                <w:rFonts w:ascii="Segoe UI" w:hAnsi="Segoe UI"/>
                <w:color w:val="0F172A"/>
                <w:sz w:val="16"/>
              </w:rPr>
              <w:t>Equipo Automatización e IA GGPD</w:t>
            </w:r>
          </w:p>
        </w:tc>
        <w:tc>
          <w:tcPr>
            <w:tcW w:type="dxa" w:w="3600"/>
            <w:shd w:fill="F1F5F9"/>
            <w:tcMar>
              <w:top w:w="60" w:type="dxa"/>
              <w:bottom w:w="60" w:type="dxa"/>
              <w:left w:w="80" w:type="dxa"/>
              <w:right w:w="80" w:type="dxa"/>
            </w:tcMar>
          </w:tcPr>
          <w:p>
            <w:pPr>
              <w:spacing w:after="0"/>
            </w:pPr>
            <w:r>
              <w:rPr>
                <w:rFonts w:ascii="Segoe UI" w:hAnsi="Segoe UI"/>
                <w:b/>
                <w:color w:val="0B2545"/>
                <w:sz w:val="16"/>
              </w:rPr>
              <w:t xml:space="preserve">Marco Normativo: </w:t>
            </w:r>
            <w:r>
              <w:rPr>
                <w:rFonts w:ascii="Segoe UI" w:hAnsi="Segoe UI"/>
                <w:color w:val="0F172A"/>
                <w:sz w:val="16"/>
              </w:rPr>
              <w:t>ISACA COBIT 2019 / ISO 8000 / ISO 9001</w:t>
            </w:r>
          </w:p>
        </w:tc>
      </w:tr>
    </w:tbl>
    <w:p>
      <w:pPr>
        <w:spacing w:after="120"/>
      </w:pPr>
    </w:p>
    <w:p>
      <w:pPr>
        <w:keepNext/>
        <w:spacing w:before="280" w:after="80"/>
      </w:pPr>
      <w:r>
        <w:rPr>
          <w:rFonts w:ascii="Segoe UI" w:hAnsi="Segoe UI"/>
          <w:b/>
          <w:color w:val="0B2545"/>
          <w:sz w:val="25"/>
        </w:rPr>
        <w:t>1. Planteamiento del Problema &amp; Objeto del Dictamen</w:t>
      </w:r>
    </w:p>
    <w:p>
      <w:pPr>
        <w:spacing w:before="0" w:after="80" w:line="276" w:lineRule="auto"/>
      </w:pPr>
      <w:r>
        <w:rPr>
          <w:rFonts w:ascii="Segoe UI" w:hAnsi="Segoe UI"/>
          <w:color w:val="0F172A"/>
          <w:sz w:val="19"/>
        </w:rPr>
        <w:t>El presente dictamen analiza la viabilidad conceptual, arquitectónica y operativa de la propuesta de: "Construir en SIGI un módulo de seguimiento de 1er y 2do nivel o crear una app solo para gerentes con gestión 360, asignación directa de instrucciones y emisión de memorandos sancionatorios por incumplimiento".</w:t>
      </w:r>
    </w:p>
    <w:tbl>
      <w:tblPr>
        <w:tblW w:type="auto" w:w="0"/>
        <w:jc w:val="center"/>
        <w:tblLook w:firstColumn="1" w:firstRow="1" w:lastColumn="0" w:lastRow="0" w:noHBand="0" w:noVBand="1" w:val="04A0"/>
      </w:tblPr>
      <w:tblGrid>
        <w:gridCol w:w="13680"/>
      </w:tblGrid>
      <w:tr>
        <w:tc>
          <w:tcPr>
            <w:tcW w:type="dxa" w:w="13680"/>
            <w:shd w:fill="FFF1F2"/>
            <w:tcMar>
              <w:top w:w="100" w:type="dxa"/>
              <w:bottom w:w="100" w:type="dxa"/>
              <w:left w:w="150" w:type="dxa"/>
              <w:right w:w="150" w:type="dxa"/>
            </w:tcMar>
            <w:tcBorders>
              <w:left w:val="single" w:sz="24" w:space="0" w:color="E11D48"/>
              <w:top w:val="none"/>
              <w:right w:val="none"/>
              <w:bottom w:val="none"/>
            </w:tcBorders>
          </w:tcPr>
          <w:p>
            <w:pPr>
              <w:spacing w:after="0"/>
            </w:pPr>
            <w:r>
              <w:rPr>
                <w:rFonts w:ascii="Segoe UI" w:hAnsi="Segoe UI"/>
                <w:b/>
                <w:color w:val="0B2545"/>
                <w:sz w:val="19"/>
              </w:rPr>
              <w:t>DICTAMEN TÉCNICO EJECUTIVO</w:t>
              <w:br/>
            </w:r>
            <w:r>
              <w:rPr>
                <w:rFonts w:ascii="Segoe UI" w:hAnsi="Segoe UI"/>
                <w:color w:val="0F172A"/>
                <w:sz w:val="18"/>
              </w:rPr>
              <w:t>Postura Técnica Oficial: El problema de control y reporte en CORPOELEC Distribución NO es un problema de falta de software ni se solucionará construyendo una nueva aplicación para la cúpula. El problema radica en la coexistencia de canales informales (WhatsApp) con tolerancia de la dirección, la mezcla indebida de dominios de control (BI vs Workflow vs Sanción Legal) y la ausencia de una regla de gobernanza institucional obligatoria.</w:t>
            </w:r>
          </w:p>
        </w:tc>
      </w:tr>
    </w:tbl>
    <w:p>
      <w:pPr>
        <w:spacing w:after="60"/>
      </w:pPr>
    </w:p>
    <w:p>
      <w:pPr>
        <w:keepNext/>
        <w:spacing w:before="280" w:after="80"/>
      </w:pPr>
      <w:r>
        <w:rPr>
          <w:rFonts w:ascii="Segoe UI" w:hAnsi="Segoe UI"/>
          <w:b/>
          <w:color w:val="0B2545"/>
          <w:sz w:val="25"/>
        </w:rPr>
        <w:t>2. Deconstrucción Crítica: Las 4 Falacias de la "Super-App Gerencial"</w:t>
      </w:r>
    </w:p>
    <w:p>
      <w:pPr>
        <w:pStyle w:val="ListBullet"/>
        <w:spacing w:before="0" w:after="40" w:line="276" w:lineRule="auto"/>
      </w:pPr>
      <w:r>
        <w:rPr>
          <w:rFonts w:ascii="Segoe UI" w:hAnsi="Segoe UI"/>
          <w:b/>
          <w:color w:val="0B2545"/>
          <w:sz w:val="19"/>
        </w:rPr>
        <w:t xml:space="preserve">Falacia 1: "El software obligará al estado a reportar": </w:t>
      </w:r>
      <w:r>
        <w:rPr>
          <w:rFonts w:ascii="Segoe UI" w:hAnsi="Segoe UI"/>
          <w:color w:val="0F172A"/>
          <w:sz w:val="19"/>
        </w:rPr>
        <w:t>El WhatsApp tiene costo y esfuerzo cero para quien reporta tarde o mal. Si el Gerente General o Nacional acepta una cifra por mensaje de chat o una foto a las 11:00 PM y la utiliza en su reunión ministerial, el sistema queda invalidado en el acto. El software no tiene poder coercitivo si la autoridad no clausura el canal informal.</w:t>
      </w:r>
    </w:p>
    <w:p>
      <w:pPr>
        <w:pStyle w:val="ListBullet"/>
        <w:spacing w:before="0" w:after="40" w:line="276" w:lineRule="auto"/>
      </w:pPr>
      <w:r>
        <w:rPr>
          <w:rFonts w:ascii="Segoe UI" w:hAnsi="Segoe UI"/>
          <w:b/>
          <w:color w:val="0B2545"/>
          <w:sz w:val="19"/>
        </w:rPr>
        <w:t xml:space="preserve">Falacia 2: "Unificar en una sola pantalla Métricas, Tareas y Sanciones": </w:t>
      </w:r>
      <w:r>
        <w:rPr>
          <w:rFonts w:ascii="Segoe UI" w:hAnsi="Segoe UI"/>
          <w:color w:val="0F172A"/>
          <w:sz w:val="19"/>
        </w:rPr>
        <w:t>Intentar que desde un gráfico de barras de SIGI se presione un botón para "Emitir Memorando Sancionatorio" mezcla la analítica de datos (BI) con el debido proceso laboral administrativo y la consultoría jurídica. Esto genera aplicaciones monolíticas, difíciles de mantener y legalmente inviables.</w:t>
      </w:r>
    </w:p>
    <w:p>
      <w:pPr>
        <w:pStyle w:val="ListBullet"/>
        <w:spacing w:before="0" w:after="40" w:line="276" w:lineRule="auto"/>
      </w:pPr>
      <w:r>
        <w:rPr>
          <w:rFonts w:ascii="Segoe UI" w:hAnsi="Segoe UI"/>
          <w:b/>
          <w:color w:val="0B2545"/>
          <w:sz w:val="19"/>
        </w:rPr>
        <w:t xml:space="preserve">Falacia 3: "La trampa punitiva y la corrupción del dato (GIGO)": </w:t>
      </w:r>
      <w:r>
        <w:rPr>
          <w:rFonts w:ascii="Segoe UI" w:hAnsi="Segoe UI"/>
          <w:color w:val="0F172A"/>
          <w:sz w:val="19"/>
        </w:rPr>
        <w:t>Si los estados perciben que el sistema es un instrumento de fiscalización punitiva para enviar memorandos por retraso, la reacción operativa natural es el maquillaje de cifras. Los operadores cargarán 100% de cumplimiento ficticio para evitar sanciones, dejando a la Junta Directiva a oscuras sobre el estado real de la red.</w:t>
      </w:r>
    </w:p>
    <w:p>
      <w:pPr>
        <w:pStyle w:val="ListBullet"/>
        <w:spacing w:before="0" w:after="40" w:line="276" w:lineRule="auto"/>
      </w:pPr>
      <w:r>
        <w:rPr>
          <w:rFonts w:ascii="Segoe UI" w:hAnsi="Segoe UI"/>
          <w:b/>
          <w:color w:val="0B2545"/>
          <w:sz w:val="19"/>
        </w:rPr>
        <w:t xml:space="preserve">Falacia 4: "La necesidad de una App exclusiva solo para Gerentes": </w:t>
      </w:r>
      <w:r>
        <w:rPr>
          <w:rFonts w:ascii="Segoe UI" w:hAnsi="Segoe UI"/>
          <w:color w:val="0F172A"/>
          <w:sz w:val="19"/>
        </w:rPr>
        <w:t>Crear una interfaz exclusiva para directores desconectada de los módulos operativos duplica esfuerzos de desarrollo, introduce desincronización de datos y aísla a la gerencia de la realidad operativa de las subestaciones y circuitos.</w:t>
      </w:r>
    </w:p>
    <w:p>
      <w:pPr>
        <w:keepNext/>
        <w:spacing w:before="280" w:after="80"/>
      </w:pPr>
      <w:r>
        <w:rPr>
          <w:rFonts w:ascii="Segoe UI" w:hAnsi="Segoe UI"/>
          <w:b/>
          <w:color w:val="0B2545"/>
          <w:sz w:val="25"/>
        </w:rPr>
        <w:t>3. Segregación de Dominios de Control (Estándar ISACA COBIT 2019 / ISO 9001)</w:t>
      </w:r>
    </w:p>
    <w:p>
      <w:pPr>
        <w:spacing w:before="0" w:after="80" w:line="276" w:lineRule="auto"/>
      </w:pPr>
      <w:r>
        <w:rPr>
          <w:rFonts w:ascii="Segoe UI" w:hAnsi="Segoe UI"/>
          <w:color w:val="0F172A"/>
          <w:sz w:val="19"/>
        </w:rPr>
        <w:t>Para evitar el retrabajo y la mezcla indebida de responsabilidades, la arquitectura del Repositorio Maestro separa quirúrgicamente los tres dominios funcionales: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736"/>
        <w:gridCol w:w="2736"/>
        <w:gridCol w:w="2736"/>
        <w:gridCol w:w="2736"/>
        <w:gridCol w:w="2736"/>
      </w:tblGrid>
      <w:tr>
        <w:tc>
          <w:tcPr>
            <w:tcW w:type="dxa" w:w="2592"/>
            <w:shd w:fill="0B2545"/>
            <w:tcMar>
              <w:top w:w="100" w:type="dxa"/>
              <w:bottom w:w="100" w:type="dxa"/>
              <w:left w:w="100" w:type="dxa"/>
              <w:right w:w="100" w:type="dxa"/>
            </w:tcMar>
          </w:tcPr>
          <w:p>
            <w:pPr>
              <w:jc w:val="center"/>
            </w:pPr>
            <w:r>
              <w:rPr>
                <w:rFonts w:ascii="Segoe UI" w:hAnsi="Segoe UI"/>
                <w:b/>
                <w:color w:val="FFFFFF"/>
                <w:sz w:val="17"/>
              </w:rPr>
              <w:t>Dominio de Control</w:t>
            </w:r>
          </w:p>
        </w:tc>
        <w:tc>
          <w:tcPr>
            <w:tcW w:type="dxa" w:w="3168"/>
            <w:shd w:fill="0B2545"/>
            <w:tcMar>
              <w:top w:w="100" w:type="dxa"/>
              <w:bottom w:w="100" w:type="dxa"/>
              <w:left w:w="100" w:type="dxa"/>
              <w:right w:w="100" w:type="dxa"/>
            </w:tcMar>
          </w:tcPr>
          <w:p>
            <w:pPr>
              <w:jc w:val="center"/>
            </w:pPr>
            <w:r>
              <w:rPr>
                <w:rFonts w:ascii="Segoe UI" w:hAnsi="Segoe UI"/>
                <w:b/>
                <w:color w:val="FFFFFF"/>
                <w:sz w:val="17"/>
              </w:rPr>
              <w:t>Propósito Funcional</w:t>
            </w:r>
          </w:p>
        </w:tc>
        <w:tc>
          <w:tcPr>
            <w:tcW w:type="dxa" w:w="2592"/>
            <w:shd w:fill="0B2545"/>
            <w:tcMar>
              <w:top w:w="100" w:type="dxa"/>
              <w:bottom w:w="100" w:type="dxa"/>
              <w:left w:w="100" w:type="dxa"/>
              <w:right w:w="100" w:type="dxa"/>
            </w:tcMar>
          </w:tcPr>
          <w:p>
            <w:pPr>
              <w:jc w:val="center"/>
            </w:pPr>
            <w:r>
              <w:rPr>
                <w:rFonts w:ascii="Segoe UI" w:hAnsi="Segoe UI"/>
                <w:b/>
                <w:color w:val="FFFFFF"/>
                <w:sz w:val="17"/>
              </w:rPr>
              <w:t>Módulo Asignado</w:t>
            </w:r>
          </w:p>
        </w:tc>
        <w:tc>
          <w:tcPr>
            <w:tcW w:type="dxa" w:w="2592"/>
            <w:shd w:fill="0B2545"/>
            <w:tcMar>
              <w:top w:w="100" w:type="dxa"/>
              <w:bottom w:w="100" w:type="dxa"/>
              <w:left w:w="100" w:type="dxa"/>
              <w:right w:w="100" w:type="dxa"/>
            </w:tcMar>
          </w:tcPr>
          <w:p>
            <w:pPr>
              <w:jc w:val="center"/>
            </w:pPr>
            <w:r>
              <w:rPr>
                <w:rFonts w:ascii="Segoe UI" w:hAnsi="Segoe UI"/>
                <w:b/>
                <w:color w:val="FFFFFF"/>
                <w:sz w:val="17"/>
              </w:rPr>
              <w:t>Actor Responsable</w:t>
            </w:r>
          </w:p>
        </w:tc>
        <w:tc>
          <w:tcPr>
            <w:tcW w:type="dxa" w:w="2880"/>
            <w:shd w:fill="0B2545"/>
            <w:tcMar>
              <w:top w:w="100" w:type="dxa"/>
              <w:bottom w:w="100" w:type="dxa"/>
              <w:left w:w="100" w:type="dxa"/>
              <w:right w:w="100" w:type="dxa"/>
            </w:tcMar>
          </w:tcPr>
          <w:p>
            <w:pPr>
              <w:jc w:val="center"/>
            </w:pPr>
            <w:r>
              <w:rPr>
                <w:rFonts w:ascii="Segoe UI" w:hAnsi="Segoe UI"/>
                <w:b/>
                <w:color w:val="FFFFFF"/>
                <w:sz w:val="17"/>
              </w:rPr>
              <w:t>Límites / Prohibiciones</w:t>
            </w:r>
          </w:p>
        </w:tc>
      </w:tr>
      <w:tr>
        <w:tc>
          <w:tcPr>
            <w:tcW w:type="dxa" w:w="2592"/>
            <w:shd w:fill="F8FAFC"/>
            <w:tcMar>
              <w:top w:w="80" w:type="dxa"/>
              <w:bottom w:w="80" w:type="dxa"/>
              <w:left w:w="80" w:type="dxa"/>
              <w:right w:w="80" w:type="dxa"/>
            </w:tcMar>
          </w:tcPr>
          <w:p>
            <w:r>
              <w:rPr>
                <w:rFonts w:ascii="Segoe UI" w:hAnsi="Segoe UI"/>
                <w:b/>
                <w:color w:val="0B2545"/>
                <w:sz w:val="16"/>
              </w:rPr>
              <w:t>1. Inteligencia &amp; Analítica (Torre de Control)</w:t>
            </w:r>
          </w:p>
        </w:tc>
        <w:tc>
          <w:tcPr>
            <w:tcW w:type="dxa" w:w="3168"/>
            <w:shd w:fill="F8FAFC"/>
            <w:tcMar>
              <w:top w:w="80" w:type="dxa"/>
              <w:bottom w:w="80" w:type="dxa"/>
              <w:left w:w="80" w:type="dxa"/>
              <w:right w:w="80" w:type="dxa"/>
            </w:tcMar>
          </w:tcPr>
          <w:p>
            <w:r>
              <w:rPr>
                <w:rFonts w:ascii="Segoe UI" w:hAnsi="Segoe UI"/>
                <w:color w:val="0F172A"/>
                <w:sz w:val="16"/>
              </w:rPr>
              <w:t>Observabilidad 360°, cálculo en vivo de TTI/FMI/AP/PP, semáforos de cumplimiento y predicción de criticidad.</w:t>
            </w:r>
          </w:p>
        </w:tc>
        <w:tc>
          <w:tcPr>
            <w:tcW w:type="dxa" w:w="2592"/>
            <w:shd w:fill="F8FAFC"/>
            <w:tcMar>
              <w:top w:w="80" w:type="dxa"/>
              <w:bottom w:w="80" w:type="dxa"/>
              <w:left w:w="80" w:type="dxa"/>
              <w:right w:w="80" w:type="dxa"/>
            </w:tcMar>
          </w:tcPr>
          <w:p>
            <w:r>
              <w:rPr>
                <w:rFonts w:ascii="Segoe UI" w:hAnsi="Segoe UI"/>
                <w:b/>
                <w:color w:val="0284C7"/>
                <w:sz w:val="16"/>
              </w:rPr>
              <w:t>SIGI-REF (Puerto 3001)</w:t>
            </w:r>
          </w:p>
        </w:tc>
        <w:tc>
          <w:tcPr>
            <w:tcW w:type="dxa" w:w="2592"/>
            <w:shd w:fill="F8FAFC"/>
            <w:tcMar>
              <w:top w:w="80" w:type="dxa"/>
              <w:bottom w:w="80" w:type="dxa"/>
              <w:left w:w="80" w:type="dxa"/>
              <w:right w:w="80" w:type="dxa"/>
            </w:tcMar>
          </w:tcPr>
          <w:p>
            <w:r>
              <w:rPr>
                <w:rFonts w:ascii="Segoe UI" w:hAnsi="Segoe UI"/>
                <w:color w:val="0F172A"/>
                <w:sz w:val="16"/>
              </w:rPr>
              <w:t>Gerente General, Gerentes Nacionales, Salas Situacionales.</w:t>
            </w:r>
          </w:p>
        </w:tc>
        <w:tc>
          <w:tcPr>
            <w:tcW w:type="dxa" w:w="2880"/>
            <w:shd w:fill="F8FAFC"/>
            <w:tcMar>
              <w:top w:w="80" w:type="dxa"/>
              <w:bottom w:w="80" w:type="dxa"/>
              <w:left w:w="80" w:type="dxa"/>
              <w:right w:w="80" w:type="dxa"/>
            </w:tcMar>
          </w:tcPr>
          <w:p>
            <w:r>
              <w:rPr>
                <w:rFonts w:ascii="Segoe UI" w:hAnsi="Segoe UI"/>
                <w:color w:val="0F172A"/>
                <w:sz w:val="16"/>
              </w:rPr>
              <w:t>NO debe emitir sanciones disciplinarias ni redactar oficios libres; es un motor de análisis.</w:t>
            </w:r>
          </w:p>
        </w:tc>
      </w:tr>
      <w:tr>
        <w:tc>
          <w:tcPr>
            <w:tcW w:type="dxa" w:w="2592"/>
            <w:shd w:fill="FFFFFF"/>
            <w:tcMar>
              <w:top w:w="80" w:type="dxa"/>
              <w:bottom w:w="80" w:type="dxa"/>
              <w:left w:w="80" w:type="dxa"/>
              <w:right w:w="80" w:type="dxa"/>
            </w:tcMar>
          </w:tcPr>
          <w:p>
            <w:r>
              <w:rPr>
                <w:rFonts w:ascii="Segoe UI" w:hAnsi="Segoe UI"/>
                <w:b/>
                <w:color w:val="0B2545"/>
                <w:sz w:val="16"/>
              </w:rPr>
              <w:t>2. Gestión Táctica de Tareas (Workflow)</w:t>
            </w:r>
          </w:p>
        </w:tc>
        <w:tc>
          <w:tcPr>
            <w:tcW w:type="dxa" w:w="3168"/>
            <w:shd w:fill="FFFFFF"/>
            <w:tcMar>
              <w:top w:w="80" w:type="dxa"/>
              <w:bottom w:w="80" w:type="dxa"/>
              <w:left w:w="80" w:type="dxa"/>
              <w:right w:w="80" w:type="dxa"/>
            </w:tcMar>
          </w:tcPr>
          <w:p>
            <w:r>
              <w:rPr>
                <w:rFonts w:ascii="Segoe UI" w:hAnsi="Segoe UI"/>
                <w:color w:val="0F172A"/>
                <w:sz w:val="16"/>
              </w:rPr>
              <w:t>Asignación estructurada de compromisos, planes de contingencia por estado, plazos de entrega y evidencias.</w:t>
            </w:r>
          </w:p>
        </w:tc>
        <w:tc>
          <w:tcPr>
            <w:tcW w:type="dxa" w:w="2592"/>
            <w:shd w:fill="FFFFFF"/>
            <w:tcMar>
              <w:top w:w="80" w:type="dxa"/>
              <w:bottom w:w="80" w:type="dxa"/>
              <w:left w:w="80" w:type="dxa"/>
              <w:right w:w="80" w:type="dxa"/>
            </w:tcMar>
          </w:tcPr>
          <w:p>
            <w:r>
              <w:rPr>
                <w:rFonts w:ascii="Segoe UI" w:hAnsi="Segoe UI"/>
                <w:b/>
                <w:color w:val="0284C7"/>
                <w:sz w:val="16"/>
              </w:rPr>
              <w:t>SCMTP-REF (Puerto 3003)</w:t>
            </w:r>
          </w:p>
        </w:tc>
        <w:tc>
          <w:tcPr>
            <w:tcW w:type="dxa" w:w="2592"/>
            <w:shd w:fill="FFFFFF"/>
            <w:tcMar>
              <w:top w:w="80" w:type="dxa"/>
              <w:bottom w:w="80" w:type="dxa"/>
              <w:left w:w="80" w:type="dxa"/>
              <w:right w:w="80" w:type="dxa"/>
            </w:tcMar>
          </w:tcPr>
          <w:p>
            <w:r>
              <w:rPr>
                <w:rFonts w:ascii="Segoe UI" w:hAnsi="Segoe UI"/>
                <w:color w:val="0F172A"/>
                <w:sz w:val="16"/>
              </w:rPr>
              <w:t>Jefes de División, Coordinadores de Mantenimiento, Ingenieros.</w:t>
            </w:r>
          </w:p>
        </w:tc>
        <w:tc>
          <w:tcPr>
            <w:tcW w:type="dxa" w:w="2880"/>
            <w:shd w:fill="FFFFFF"/>
            <w:tcMar>
              <w:top w:w="80" w:type="dxa"/>
              <w:bottom w:w="80" w:type="dxa"/>
              <w:left w:w="80" w:type="dxa"/>
              <w:right w:w="80" w:type="dxa"/>
            </w:tcMar>
          </w:tcPr>
          <w:p>
            <w:r>
              <w:rPr>
                <w:rFonts w:ascii="Segoe UI" w:hAnsi="Segoe UI"/>
                <w:color w:val="0F172A"/>
                <w:sz w:val="16"/>
              </w:rPr>
              <w:t>NO debe recalcular fórmulas eléctricas de red; solo gestiona el flujo de trabajo y cumplimiento.</w:t>
            </w:r>
          </w:p>
        </w:tc>
      </w:tr>
      <w:tr>
        <w:tc>
          <w:tcPr>
            <w:tcW w:type="dxa" w:w="2592"/>
            <w:shd w:fill="F8FAFC"/>
            <w:tcMar>
              <w:top w:w="80" w:type="dxa"/>
              <w:bottom w:w="80" w:type="dxa"/>
              <w:left w:w="80" w:type="dxa"/>
              <w:right w:w="80" w:type="dxa"/>
            </w:tcMar>
          </w:tcPr>
          <w:p>
            <w:r>
              <w:rPr>
                <w:rFonts w:ascii="Segoe UI" w:hAnsi="Segoe UI"/>
                <w:b/>
                <w:color w:val="0B2545"/>
                <w:sz w:val="16"/>
              </w:rPr>
              <w:t>3. Formalización Institucional &amp; Sanción</w:t>
            </w:r>
          </w:p>
        </w:tc>
        <w:tc>
          <w:tcPr>
            <w:tcW w:type="dxa" w:w="3168"/>
            <w:shd w:fill="F8FAFC"/>
            <w:tcMar>
              <w:top w:w="80" w:type="dxa"/>
              <w:bottom w:w="80" w:type="dxa"/>
              <w:left w:w="80" w:type="dxa"/>
              <w:right w:w="80" w:type="dxa"/>
            </w:tcMar>
          </w:tcPr>
          <w:p>
            <w:r>
              <w:rPr>
                <w:rFonts w:ascii="Segoe UI" w:hAnsi="Segoe UI"/>
                <w:color w:val="0F172A"/>
                <w:sz w:val="16"/>
              </w:rPr>
              <w:t>Emisión formal de Memorandos, Oficios Circulares, Exhortos con validez jurídica, Hash SHA-256 inmutable y QR.</w:t>
            </w:r>
          </w:p>
        </w:tc>
        <w:tc>
          <w:tcPr>
            <w:tcW w:type="dxa" w:w="2592"/>
            <w:shd w:fill="F8FAFC"/>
            <w:tcMar>
              <w:top w:w="80" w:type="dxa"/>
              <w:bottom w:w="80" w:type="dxa"/>
              <w:left w:w="80" w:type="dxa"/>
              <w:right w:w="80" w:type="dxa"/>
            </w:tcMar>
          </w:tcPr>
          <w:p>
            <w:r>
              <w:rPr>
                <w:rFonts w:ascii="Segoe UI" w:hAnsi="Segoe UI"/>
                <w:b/>
                <w:color w:val="0284C7"/>
                <w:sz w:val="16"/>
              </w:rPr>
              <w:t>SCGCC-REF (Puerto 3006)</w:t>
            </w:r>
          </w:p>
        </w:tc>
        <w:tc>
          <w:tcPr>
            <w:tcW w:type="dxa" w:w="2592"/>
            <w:shd w:fill="F8FAFC"/>
            <w:tcMar>
              <w:top w:w="80" w:type="dxa"/>
              <w:bottom w:w="80" w:type="dxa"/>
              <w:left w:w="80" w:type="dxa"/>
              <w:right w:w="80" w:type="dxa"/>
            </w:tcMar>
          </w:tcPr>
          <w:p>
            <w:r>
              <w:rPr>
                <w:rFonts w:ascii="Segoe UI" w:hAnsi="Segoe UI"/>
                <w:color w:val="0F172A"/>
                <w:sz w:val="16"/>
              </w:rPr>
              <w:t>Despacho Gerente General, Consultoría Jurídica, CGGTH.</w:t>
            </w:r>
          </w:p>
        </w:tc>
        <w:tc>
          <w:tcPr>
            <w:tcW w:type="dxa" w:w="2880"/>
            <w:shd w:fill="F8FAFC"/>
            <w:tcMar>
              <w:top w:w="80" w:type="dxa"/>
              <w:bottom w:w="80" w:type="dxa"/>
              <w:left w:w="80" w:type="dxa"/>
              <w:right w:w="80" w:type="dxa"/>
            </w:tcMar>
          </w:tcPr>
          <w:p>
            <w:r>
              <w:rPr>
                <w:rFonts w:ascii="Segoe UI" w:hAnsi="Segoe UI"/>
                <w:color w:val="0F172A"/>
                <w:sz w:val="16"/>
              </w:rPr>
              <w:t>NO es un chat informal; cada comunicación tiene correlativo oficial y trazabilidad auditada ISO 27001.</w:t>
            </w:r>
          </w:p>
        </w:tc>
      </w:tr>
    </w:tbl>
    <w:p>
      <w:pPr>
        <w:spacing w:after="120"/>
      </w:pPr>
    </w:p>
    <w:p>
      <w:pPr>
        <w:keepNext/>
        <w:spacing w:before="280" w:after="80"/>
      </w:pPr>
      <w:r>
        <w:rPr>
          <w:rFonts w:ascii="Segoe UI" w:hAnsi="Segoe UI"/>
          <w:b/>
          <w:color w:val="0B2545"/>
          <w:sz w:val="25"/>
        </w:rPr>
        <w:t>4. Modelo de Solución Sistémica: Los Tres Pilares de Éxito</w:t>
      </w:r>
    </w:p>
    <w:tbl>
      <w:tblPr>
        <w:tblW w:type="auto" w:w="0"/>
        <w:jc w:val="center"/>
        <w:tblLook w:firstColumn="1" w:firstRow="1" w:lastColumn="0" w:lastRow="0" w:noHBand="0" w:noVBand="1" w:val="04A0"/>
      </w:tblPr>
      <w:tblGrid>
        <w:gridCol w:w="13680"/>
      </w:tblGrid>
      <w:tr>
        <w:tc>
          <w:tcPr>
            <w:tcW w:type="dxa" w:w="13680"/>
            <w:shd w:fill="FFFBEB"/>
            <w:tcMar>
              <w:top w:w="100" w:type="dxa"/>
              <w:bottom w:w="100" w:type="dxa"/>
              <w:left w:w="150" w:type="dxa"/>
              <w:right w:w="150" w:type="dxa"/>
            </w:tcMar>
            <w:tcBorders>
              <w:left w:val="single" w:sz="24" w:space="0" w:color="D97706"/>
              <w:top w:val="none"/>
              <w:right w:val="none"/>
              <w:bottom w:val="none"/>
            </w:tcBorders>
          </w:tcPr>
          <w:p>
            <w:pPr>
              <w:spacing w:after="0"/>
            </w:pPr>
            <w:r>
              <w:rPr>
                <w:rFonts w:ascii="Segoe UI" w:hAnsi="Segoe UI"/>
                <w:b/>
                <w:color w:val="0B2545"/>
                <w:sz w:val="19"/>
              </w:rPr>
              <w:t>PILAR A: GOBERNANZA DE ALTA DIRECCIÓN (CIERRE DE CANALES INFORMALES)</w:t>
              <w:br/>
            </w:r>
            <w:r>
              <w:rPr>
                <w:rFonts w:ascii="Segoe UI" w:hAnsi="Segoe UI"/>
                <w:color w:val="0F172A"/>
                <w:sz w:val="18"/>
              </w:rPr>
              <w:t>Directriz de Presidencia / GGD: "Lo que no esté registrado en el sistema InsForge NO EXISTE".</w:t>
              <w:br/>
              <w:t>• En todas las Salas Situacionales y reuniones con el Ministro, se proyecta SIGI en tiempo real.</w:t>
              <w:br/>
              <w:t>• El estado que no cargue datos aparece en ROJO (0% Cumplimiento) ante la Junta Directiva.</w:t>
              <w:br/>
              <w:t>• Se prohíbe a la línea de mando recibir o procesar requerimientos de materiales o viáticos por WhatsApp a estados con atraso en el reporte.</w:t>
            </w:r>
          </w:p>
        </w:tc>
      </w:tr>
    </w:tbl>
    <w:p>
      <w:pPr>
        <w:spacing w:after="60"/>
      </w:pPr>
    </w:p>
    <w:tbl>
      <w:tblPr>
        <w:tblW w:type="auto" w:w="0"/>
        <w:jc w:val="center"/>
        <w:tblLook w:firstColumn="1" w:firstRow="1" w:lastColumn="0" w:lastRow="0" w:noHBand="0" w:noVBand="1" w:val="04A0"/>
      </w:tblPr>
      <w:tblGrid>
        <w:gridCol w:w="13680"/>
      </w:tblGrid>
      <w:tr>
        <w:tc>
          <w:tcPr>
            <w:tcW w:type="dxa" w:w="13680"/>
            <w:shd w:fill="F0FDF4"/>
            <w:tcMar>
              <w:top w:w="100" w:type="dxa"/>
              <w:bottom w:w="100" w:type="dxa"/>
              <w:left w:w="150" w:type="dxa"/>
              <w:right w:w="150" w:type="dxa"/>
            </w:tcMar>
            <w:tcBorders>
              <w:left w:val="single" w:sz="24" w:space="0" w:color="059669"/>
              <w:top w:val="none"/>
              <w:right w:val="none"/>
              <w:bottom w:val="none"/>
            </w:tcBorders>
          </w:tcPr>
          <w:p>
            <w:pPr>
              <w:spacing w:after="0"/>
            </w:pPr>
            <w:r>
              <w:rPr>
                <w:rFonts w:ascii="Segoe UI" w:hAnsi="Segoe UI"/>
                <w:b/>
                <w:color w:val="0B2545"/>
                <w:sz w:val="19"/>
              </w:rPr>
              <w:t>PILAR B: INCENTIVO OPERATIVO (VALOR DIRECTO PARA QUIEN REGISTRA EL DATO)</w:t>
              <w:br/>
            </w:r>
            <w:r>
              <w:rPr>
                <w:rFonts w:ascii="Segoe UI" w:hAnsi="Segoe UI"/>
                <w:color w:val="0F172A"/>
                <w:sz w:val="18"/>
              </w:rPr>
              <w:t>• El sistema no debe ser solo una carga para el estado; debe ahorrarle tiempo de trabajo.</w:t>
              <w:br/>
              <w:t>• Al cargar la data en SIGI/SCTIS, el sistema genera automáticamente el Informe Mensual Estadal en PDF/Word con membrete corporativo y gráficos listos para la Gobernación.</w:t>
              <w:br/>
              <w:t>• Esto le ahorra 40 horas mensuales de digitación al ingeniero de campo, convirtiéndolo en defensor del sistema.</w:t>
            </w:r>
          </w:p>
        </w:tc>
      </w:tr>
    </w:tbl>
    <w:p>
      <w:pPr>
        <w:spacing w:after="60"/>
      </w:pPr>
    </w:p>
    <w:tbl>
      <w:tblPr>
        <w:tblW w:type="auto" w:w="0"/>
        <w:jc w:val="center"/>
        <w:tblLook w:firstColumn="1" w:firstRow="1" w:lastColumn="0" w:lastRow="0" w:noHBand="0" w:noVBand="1" w:val="04A0"/>
      </w:tblPr>
      <w:tblGrid>
        <w:gridCol w:w="13680"/>
      </w:tblGrid>
      <w:tr>
        <w:tc>
          <w:tcPr>
            <w:tcW w:type="dxa" w:w="13680"/>
            <w:shd w:fill="F0F9FF"/>
            <w:tcMar>
              <w:top w:w="100" w:type="dxa"/>
              <w:bottom w:w="100" w:type="dxa"/>
              <w:left w:w="150" w:type="dxa"/>
              <w:right w:w="150" w:type="dxa"/>
            </w:tcMar>
            <w:tcBorders>
              <w:left w:val="single" w:sz="24" w:space="0" w:color="0284C7"/>
              <w:top w:val="none"/>
              <w:right w:val="none"/>
              <w:bottom w:val="none"/>
            </w:tcBorders>
          </w:tcPr>
          <w:p>
            <w:pPr>
              <w:spacing w:after="0"/>
            </w:pPr>
            <w:r>
              <w:rPr>
                <w:rFonts w:ascii="Segoe UI" w:hAnsi="Segoe UI"/>
                <w:b/>
                <w:color w:val="0B2545"/>
                <w:sz w:val="19"/>
              </w:rPr>
              <w:t>PILAR C: ARQUITECTURA DESACOPLADA Y FLUJO AUTOMATIZADO</w:t>
              <w:br/>
            </w:r>
            <w:r>
              <w:rPr>
                <w:rFonts w:ascii="Segoe UI" w:hAnsi="Segoe UI"/>
                <w:color w:val="0F172A"/>
                <w:sz w:val="18"/>
              </w:rPr>
              <w:t>Flujo Interconectado: SIGI ➔ SCMTP ➔ SCGCC sobre la base de datos única de InsForge.</w:t>
              <w:br/>
              <w:t>1. SIGI detecta un desvío crítico de TTI o Pica y Poda en un estado.</w:t>
              <w:br/>
              <w:t>2. Con 1 clic, SIGI deriva la instrucción a SCMTP, creando una tarea formal con plazo de 72h.</w:t>
              <w:br/>
              <w:t>3. Si el estado reincide o incumple el plazo en SCMTP, se escala a SCGCC para emitir el Memorando Oficial con firma digital y copia a Talento Humano.</w:t>
            </w:r>
          </w:p>
        </w:tc>
      </w:tr>
    </w:tbl>
    <w:p>
      <w:pPr>
        <w:spacing w:after="60"/>
      </w:pPr>
    </w:p>
    <w:p>
      <w:pPr>
        <w:keepNext/>
        <w:spacing w:before="280" w:after="80"/>
      </w:pPr>
      <w:r>
        <w:rPr>
          <w:rFonts w:ascii="Segoe UI" w:hAnsi="Segoe UI"/>
          <w:b/>
          <w:color w:val="0B2545"/>
          <w:sz w:val="25"/>
        </w:rPr>
        <w:t>5. Conclusiones y Hoja de Ruta Inmediata</w:t>
      </w:r>
    </w:p>
    <w:p>
      <w:pPr>
        <w:pStyle w:val="ListBullet"/>
        <w:spacing w:before="0" w:after="40" w:line="276" w:lineRule="auto"/>
      </w:pPr>
      <w:r>
        <w:rPr>
          <w:rFonts w:ascii="Segoe UI" w:hAnsi="Segoe UI"/>
          <w:b/>
          <w:color w:val="0B2545"/>
          <w:sz w:val="19"/>
        </w:rPr>
        <w:t xml:space="preserve">1. Disciplina de Arquitectura: </w:t>
      </w:r>
      <w:r>
        <w:rPr>
          <w:rFonts w:ascii="Segoe UI" w:hAnsi="Segoe UI"/>
          <w:color w:val="0F172A"/>
          <w:sz w:val="19"/>
        </w:rPr>
        <w:t>No construir software redundante ni crear una "app gerencial separada". Consolidar el Repositorio Maestro existente en InsForge BaaS.</w:t>
      </w:r>
    </w:p>
    <w:p>
      <w:pPr>
        <w:pStyle w:val="ListBullet"/>
        <w:spacing w:before="0" w:after="40" w:line="276" w:lineRule="auto"/>
      </w:pPr>
      <w:r>
        <w:rPr>
          <w:rFonts w:ascii="Segoe UI" w:hAnsi="Segoe UI"/>
          <w:b/>
          <w:color w:val="0B2545"/>
          <w:sz w:val="19"/>
        </w:rPr>
        <w:t xml:space="preserve">2. Acompañamiento en Paralelo: </w:t>
      </w:r>
      <w:r>
        <w:rPr>
          <w:rFonts w:ascii="Segoe UI" w:hAnsi="Segoe UI"/>
          <w:color w:val="0F172A"/>
          <w:sz w:val="19"/>
        </w:rPr>
        <w:t>Establecer un período de transición de 3 a 4 semanas con operación en paralelo y designación de un Enlace Estadal Certificado por cada gerencia regional.</w:t>
      </w:r>
    </w:p>
    <w:p>
      <w:pPr>
        <w:pStyle w:val="ListBullet"/>
        <w:spacing w:before="0" w:after="40" w:line="276" w:lineRule="auto"/>
      </w:pPr>
      <w:r>
        <w:rPr>
          <w:rFonts w:ascii="Segoe UI" w:hAnsi="Segoe UI"/>
          <w:b/>
          <w:color w:val="0B2545"/>
          <w:sz w:val="19"/>
        </w:rPr>
        <w:t xml:space="preserve">3. Directriz Administrativa: </w:t>
      </w:r>
      <w:r>
        <w:rPr>
          <w:rFonts w:ascii="Segoe UI" w:hAnsi="Segoe UI"/>
          <w:color w:val="0F172A"/>
          <w:sz w:val="19"/>
        </w:rPr>
        <w:t>Emitir la circular administrativa oficial que clausura la validez de los reportes por mensajería instantánea y formaliza los seis módulos del Repositorio Maestro.</w:t>
      </w:r>
    </w:p>
    <w:sectPr w:rsidR="00FC693F" w:rsidRPr="0006063C" w:rsidSect="00034616">
      <w:headerReference w:type="default" r:id="rId9"/>
      <w:footerReference w:type="default" r:id="rId10"/>
      <w:pgSz w:w="15840" w:h="12240" w:orient="landscape"/>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6"/>
      </w:rPr>
      <w:t>Dictamen Técnico y Estratégico de Gobernanza de Software y Procesos · ISACA COBIT 2019 · ISO 8000-110 · ISO 27001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CORPOELEC · GGPD / GGD | DOC-GGPD-2026-GOB-001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