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20"/>
        </w:rPr>
        <w:t>CORPOELEC · GERENCIA GENERAL DE PLANIFICACIÓN DE DISTRIBUCIÓN (GGPD) · V02</w:t>
      </w:r>
    </w:p>
    <w:p>
      <w:r>
        <w:rPr>
          <w:b/>
          <w:sz w:val="20"/>
        </w:rPr>
        <w:t>Listado de materiales requeridos 2024-2028 (proyección V02) — documento metodológico</w:t>
      </w:r>
    </w:p>
    <w:p>
      <w:r>
        <w:rPr>
          <w:b w:val="0"/>
          <w:color w:val="595959"/>
          <w:sz w:val="18"/>
        </w:rPr>
        <w:t>Código: NAC_2026_GGPD_MDL_INSTRUMENTO_LISTADO_PROYECCION_2024_2028_V02 · Septiembre 2026</w:t>
      </w:r>
    </w:p>
    <w:p>
      <w:r>
        <w:rPr>
          <w:b w:val="0"/>
          <w:color w:val="595959"/>
          <w:sz w:val="18"/>
        </w:rPr>
        <w:t>Estándar de Grado Industrial: ISO 8000-110 (calidad de datos) · ISO/IEC 27001 (no confidencial) · OWASP ASVS · COBIT 2019.</w:t>
      </w:r>
    </w:p>
    <w:p/>
    <w:p>
      <w:pPr>
        <w:pStyle w:val="Heading1"/>
      </w:pPr>
      <w:r>
        <w:rPr>
          <w:color w:val="1F4E79"/>
        </w:rPr>
        <w:t>1. Objetivo</w:t>
      </w:r>
    </w:p>
    <w:p>
      <w:r>
        <w:rPr>
          <w:b w:val="0"/>
          <w:sz w:val="21"/>
        </w:rPr>
        <w:t>Explicar, en palabras sencillas, el XLSX NAC_2026_GGPD_INSTRUMENTO_LISTADO_MATERIALES_PLANES_V02_PROYECCION_2024_2028.xlsx: de dónde salen las cantidades y los precios (€/ud, catálogo BD), cómo se leen las columnas 2024-2028 con los tres métodos A/B/C, cómo se desglosan los transformadores por tipo (kVA de distribución y MVA de potencia S-E) y cómo se reparte por estados. El número por versión responde a un escenario distinto: V02 = base × tendencia interna de crecimiento (+15%/año).</w:t>
      </w:r>
    </w:p>
    <w:p>
      <w:pPr>
        <w:pStyle w:val="Heading1"/>
      </w:pPr>
      <w:r>
        <w:rPr>
          <w:color w:val="1F4E79"/>
        </w:rPr>
        <w:t>2. Qué contiene el listado (7 pestañas)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  <w:color w:val="1F4E79"/>
                <w:sz w:val="18"/>
              </w:rPr>
              <w:t>Pestaña</w:t>
            </w:r>
          </w:p>
        </w:tc>
        <w:tc>
          <w:tcPr>
            <w:tcW w:type="dxa" w:w="7654"/>
          </w:tcPr>
          <w:p>
            <w:r>
              <w:rPr>
                <w:b/>
                <w:color w:val="1F4E79"/>
                <w:sz w:val="18"/>
              </w:rPr>
              <w:t>Contenido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PORTADA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Portada y código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LEEME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Método y lectura en palabras sencillas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LISTADO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600 ítems nacionales + transformadores por tipo; subtotales y GRAN TOTAL (uds y €/año)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TRX_TIPOS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Transformadores únicamente: distribución por kVA y potencia S-E por MVA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RESUMEN_FAMILIAS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€/año por familia de materiales y GRAN TOTAL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ESTADOS_TRX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Solicitudes/necesidad TRX por estado (reparte el total nacional)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ESTADOS_MATERIALES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Materiales por estado (bloques por estado × familia; suman al nacional)</w:t>
            </w:r>
          </w:p>
        </w:tc>
      </w:tr>
    </w:tbl>
    <w:p>
      <w:pPr>
        <w:pStyle w:val="Heading1"/>
      </w:pPr>
      <w:r>
        <w:rPr>
          <w:color w:val="1F4E79"/>
        </w:rPr>
        <w:t>3. Columnas y metodología</w:t>
      </w:r>
    </w:p>
    <w:p>
      <w:r>
        <w:rPr>
          <w:b w:val="0"/>
          <w:sz w:val="21"/>
        </w:rPr>
        <w:t>Columnas de cantidad: 2024 · 2025 · 2026 · A2027 · B2027 · C2027 · A2028 · B2028 · C2028. Cada año-método es una columna.</w:t>
      </w:r>
    </w:p>
    <w:p>
      <w:r>
        <w:rPr>
          <w:b w:val="0"/>
          <w:sz w:val="21"/>
        </w:rPr>
        <w:t>•  2024 = volumen REAL de material 2025 (default plano, no hay cierre 2024 completo) — 2024/2025 son el cierre más cercano disponible.</w:t>
      </w:r>
    </w:p>
    <w:p>
      <w:r>
        <w:rPr>
          <w:b w:val="0"/>
          <w:sz w:val="21"/>
        </w:rPr>
        <w:t>•  2025 = volumen real de material (consolidado PLAN/SCEIN/PTRSEN 2025, ~1,7 M de unidades).</w:t>
      </w:r>
    </w:p>
    <w:p>
      <w:r>
        <w:rPr>
          <w:b w:val="0"/>
          <w:sz w:val="21"/>
        </w:rPr>
        <w:t>•  2026 = volumen anual de material fusionado de los 3 orígenes (PLAN2026, SCEIN2026, PTRSEN2026, ~1,14 M de unidades); es la base de partida de las proyecciones.</w:t>
      </w:r>
    </w:p>
    <w:p>
      <w:r>
        <w:rPr>
          <w:b w:val="0"/>
          <w:sz w:val="21"/>
        </w:rPr>
        <w:t>•  2027/2028 → UNA columna por método (A/B/C). Los tres métodos son estrategias de reposición distintas y se aplican al bloque TRANSFORMADORES (el motor del sistema): A = media histórica + backlog (18.201 uds), B = tasa por parque instalado (11.596 uds), C = tendencia lineal (4.492 uds) para 2027 (V01).</w:t>
      </w:r>
    </w:p>
    <w:p>
      <w:r>
        <w:rPr>
          <w:b w:val="0"/>
          <w:sz w:val="21"/>
        </w:rPr>
        <w:t>•  Demás materiales: A=B=C (los métodos transformadores no aplican a consumibles); el nivel por año depende de la versión (escenario V01 plano · V02 ×1,15/año · V03 × cuota ENOS).</w:t>
      </w:r>
    </w:p>
    <w:p>
      <w:pPr>
        <w:pStyle w:val="Heading1"/>
      </w:pPr>
      <w:r>
        <w:rPr>
          <w:color w:val="1F4E79"/>
        </w:rPr>
        <w:t>4. Bloque transformadores (el motor del sistema)</w:t>
      </w:r>
    </w:p>
    <w:p>
      <w:r>
        <w:rPr>
          <w:b/>
          <w:sz w:val="21"/>
        </w:rPr>
        <w:t>Los totales del bloque TRX nacional (columnas por año-método) usan la fila NACIONAL de trx_proyeccion_v02 — la autoritativa: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r>
              <w:rPr>
                <w:b/>
                <w:color w:val="1F4E79"/>
                <w:sz w:val="18"/>
              </w:rPr>
              <w:t>Columna</w:t>
            </w:r>
          </w:p>
        </w:tc>
        <w:tc>
          <w:tcPr>
            <w:tcW w:type="dxa" w:w="1701"/>
          </w:tcPr>
          <w:p>
            <w:r>
              <w:rPr>
                <w:b/>
                <w:color w:val="1F4E79"/>
                <w:sz w:val="18"/>
              </w:rPr>
              <w:t>TRX DIST (uds)</w:t>
            </w:r>
          </w:p>
        </w:tc>
        <w:tc>
          <w:tcPr>
            <w:tcW w:type="dxa" w:w="5669"/>
          </w:tcPr>
          <w:p>
            <w:r>
              <w:rPr>
                <w:b/>
                <w:color w:val="1F4E79"/>
                <w:sz w:val="18"/>
              </w:rPr>
              <w:t>Nota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2024*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11.252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Solicitudes reales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2025*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8469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Solicitudes reales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4944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Necesidad base V01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A2027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18.201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Media+backlog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B2027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11.596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Tasa parque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C2027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4492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Tendencia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A2028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11.152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Media+backlog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B2028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11.596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Tasa parque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C2028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4492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Tendencia</w:t>
            </w:r>
          </w:p>
        </w:tc>
      </w:tr>
    </w:tbl>
    <w:p>
      <w:r>
        <w:rPr>
          <w:b w:val="0"/>
          <w:color w:val="595959"/>
          <w:sz w:val="18"/>
        </w:rPr>
        <w:t>(* 2024/2025 son solicitudes REALES del registro interno TRX; 2026 es la necesidad; 2027/2028 las tres estimaciones.)</w:t>
      </w:r>
    </w:p>
    <w:p>
      <w:r>
        <w:rPr>
          <w:b/>
          <w:sz w:val="21"/>
        </w:rPr>
        <w:t>Reparto por tipo — mezcla real de daño 2025 (trx_buckets2025):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</w:tcPr>
          <w:p>
            <w:r>
              <w:rPr>
                <w:b/>
                <w:color w:val="1F4E79"/>
                <w:sz w:val="18"/>
              </w:rPr>
              <w:t>kVA</w:t>
            </w:r>
          </w:p>
        </w:tc>
        <w:tc>
          <w:tcPr>
            <w:tcW w:type="dxa" w:w="1701"/>
          </w:tcPr>
          <w:p>
            <w:r>
              <w:rPr>
                <w:b/>
                <w:color w:val="1F4E79"/>
                <w:sz w:val="18"/>
              </w:rPr>
              <w:t>Equipos 2025</w:t>
            </w:r>
          </w:p>
        </w:tc>
        <w:tc>
          <w:tcPr>
            <w:tcW w:type="dxa" w:w="1247"/>
          </w:tcPr>
          <w:p>
            <w:r>
              <w:rPr>
                <w:b/>
                <w:color w:val="1F4E79"/>
                <w:sz w:val="18"/>
              </w:rPr>
              <w:t>%</w:t>
            </w:r>
          </w:p>
        </w:tc>
        <w:tc>
          <w:tcPr>
            <w:tcW w:type="dxa" w:w="2608"/>
          </w:tcPr>
          <w:p>
            <w:r>
              <w:rPr>
                <w:b/>
                <w:color w:val="1F4E79"/>
                <w:sz w:val="18"/>
              </w:rPr>
              <w:t>€/ud (catálogo/est.)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15.0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3480.0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13.4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280.0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25.0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6194.0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23.8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1792.7421428571429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37.5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7276.0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28.0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50.0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6958.0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26.7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75.0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1232.0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4.7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519.0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167.0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47.0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250.0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183.0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0.7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300.0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40.0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13333.333333333334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500.0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64.0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26318.18181818182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500.0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21.0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26318.18181818182</w:t>
            </w:r>
          </w:p>
        </w:tc>
      </w:tr>
    </w:tbl>
    <w:p>
      <w:r>
        <w:rPr>
          <w:b w:val="0"/>
          <w:color w:val="595959"/>
          <w:sz w:val="21"/>
        </w:rPr>
        <w:t>Potencia S-E (backlog real de la BD: 121 uds/año base): 5 MVA=19 · 10 MVA=41 · 15 MVA=16 · 20 MVA=13 uds, con precios de catálogo BD (198.947 € / 409.756 € / 630.000 € / 840.000 € por unidad).</w:t>
      </w:r>
    </w:p>
    <w:p>
      <w:r>
        <w:rPr>
          <w:b w:val="0"/>
          <w:color w:val="595959"/>
          <w:sz w:val="21"/>
        </w:rPr>
        <w:t>kVA sin precio de catálogo en la BD (37,5-250) se valoran con la ancla documentada € = 1.792,74 × (kVA/25)^0,8 y se marcan EST en la columna €/ud.</w:t>
      </w:r>
    </w:p>
    <w:p>
      <w:pPr>
        <w:pStyle w:val="Heading1"/>
      </w:pPr>
      <w:r>
        <w:rPr>
          <w:color w:val="1F4E79"/>
        </w:rPr>
        <w:t>5. Escenario V02: cómo crece cada columna</w:t>
      </w:r>
    </w:p>
    <w:p>
      <w:r>
        <w:rPr>
          <w:b w:val="0"/>
          <w:sz w:val="21"/>
        </w:rPr>
        <w:t>•  2024/25/26 iguales a V01. Materiales 2027 = base × 1,15; 2028 = base × 1,3225 (tendencia interna extrapolada +15%/año, documentada en el análisis estacional V02). Bloque TRX idéntico a V01 (los métodos A/B/C ya incorporan la tendencia de su serie).</w:t>
      </w:r>
    </w:p>
    <w:p>
      <w:pPr>
        <w:pStyle w:val="Heading1"/>
      </w:pPr>
      <w:r>
        <w:rPr>
          <w:color w:val="1F4E79"/>
        </w:rPr>
        <w:t>6. Totales del escenario (gran total nacional)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rPr>
                <w:b/>
                <w:color w:val="1F4E79"/>
                <w:sz w:val="18"/>
              </w:rPr>
              <w:t>Columna</w:t>
            </w:r>
          </w:p>
        </w:tc>
        <w:tc>
          <w:tcPr>
            <w:tcW w:type="dxa" w:w="2608"/>
          </w:tcPr>
          <w:p>
            <w:r>
              <w:rPr>
                <w:b/>
                <w:color w:val="1F4E79"/>
                <w:sz w:val="18"/>
              </w:rPr>
              <w:t>Unidades</w:t>
            </w:r>
          </w:p>
        </w:tc>
        <w:tc>
          <w:tcPr>
            <w:tcW w:type="dxa" w:w="2608"/>
          </w:tcPr>
          <w:p>
            <w:r>
              <w:rPr>
                <w:b/>
                <w:color w:val="1F4E79"/>
                <w:sz w:val="18"/>
              </w:rPr>
              <w:t>Presupuesto (€)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2.017.085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554.069.076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2.014.303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547.106.914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1.140.308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170.577.913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A2027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1.323.833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221.218.039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B2027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1.317.227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204.656.241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C2027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1.310.124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186.857.072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A2028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1.512.602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223.724.518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B2028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1.513.048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224.868.965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C2028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1.505.945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207.069.795</w:t>
            </w:r>
          </w:p>
        </w:tc>
      </w:tr>
    </w:tbl>
    <w:p>
      <w:r>
        <w:rPr>
          <w:b/>
          <w:sz w:val="21"/>
        </w:rPr>
        <w:t>Lectura rápida: el año se compra eligiendo una metodología. Por ejemplo, en V02 la opción conservadora A·2027 = 1.323.833 uds por 221.218.039 €.</w:t>
      </w:r>
    </w:p>
    <w:p>
      <w:pPr>
        <w:pStyle w:val="Heading1"/>
      </w:pPr>
      <w:r>
        <w:rPr>
          <w:color w:val="1F4E79"/>
        </w:rPr>
        <w:t>7. Distribución por estados</w:t>
      </w:r>
    </w:p>
    <w:p>
      <w:r>
        <w:rPr>
          <w:b w:val="0"/>
          <w:sz w:val="21"/>
        </w:rPr>
        <w:t>ESTADOS_TRX: el total nacional de cada columna se reparte por la SHARE real de solicitudes TRX 2025 de cada estado (24 estados + Distrito Capital; suma = 100%). La suma de estados ≈ nacional (±2 uds por redondeo por estado). Los estados con más solicitudes 2025 (top 5):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>
              <w:rPr>
                <w:b/>
                <w:color w:val="1F4E79"/>
                <w:sz w:val="18"/>
              </w:rPr>
              <w:t>Estado</w:t>
            </w:r>
          </w:p>
        </w:tc>
        <w:tc>
          <w:tcPr>
            <w:tcW w:type="dxa" w:w="2268"/>
          </w:tcPr>
          <w:p>
            <w:r>
              <w:rPr>
                <w:b/>
                <w:color w:val="1F4E79"/>
                <w:sz w:val="18"/>
              </w:rPr>
              <w:t>Share 2025 %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LARA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8.83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MONAGAS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7.97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ZULIA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6.66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ANZOATEGUI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6.65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ARAGUA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6.0</w:t>
            </w:r>
          </w:p>
        </w:tc>
      </w:tr>
    </w:tbl>
    <w:p>
      <w:r>
        <w:rPr>
          <w:b w:val="0"/>
          <w:color w:val="595959"/>
          <w:sz w:val="21"/>
        </w:rPr>
        <w:t>ESTADOS_MATERIALES: bloques por estado — por cada estado se calcula su share de material 2026 (líneas reales) y ese porcentaje del total nacional por familia; las familias de todos los estados suman al nacional (±2).</w:t>
      </w:r>
    </w:p>
    <w:p>
      <w:pPr>
        <w:pStyle w:val="Heading1"/>
      </w:pPr>
      <w:r>
        <w:rPr>
          <w:color w:val="1F4E79"/>
        </w:rPr>
        <w:t>8. Precios y calidad de datos</w:t>
      </w:r>
    </w:p>
    <w:p>
      <w:r>
        <w:rPr>
          <w:b w:val="0"/>
          <w:sz w:val="21"/>
        </w:rPr>
        <w:t>•  Cantidades: consolidado PLAN/SCEIN/PTRSEN 2025-2026 (NACIONAL) + solicitudes TRX reales por estado (INF_EDO_TRX 12-08-2026).</w:t>
      </w:r>
    </w:p>
    <w:p>
      <w:r>
        <w:rPr>
          <w:b w:val="0"/>
          <w:sz w:val="21"/>
        </w:rPr>
        <w:t>•  Precios: catálogo BD (SAP) 804 referencias fusionadas; ítem sin precio → promedio de su familia, marcado '≈fam'.</w:t>
      </w:r>
    </w:p>
    <w:p>
      <w:r>
        <w:rPr>
          <w:b w:val="0"/>
          <w:sz w:val="21"/>
        </w:rPr>
        <w:t>•  TRX-DIST sin catálogo (37,5-250 kVA): estimado por ancla 25 kVA (1.792,74 €) con ley de escala ^0,8, marcado EST.</w:t>
      </w:r>
    </w:p>
    <w:p>
      <w:r>
        <w:rPr>
          <w:b w:val="0"/>
          <w:sz w:val="21"/>
        </w:rPr>
        <w:t>•  ISO 8000-110: ítems unificados por (familia, descripción, unidad); duplicados erradicados en la fusión; ver fuentes en H_TRAZABILIDAD_Y_CALIDAD.</w:t>
      </w:r>
    </w:p>
    <w:p>
      <w:pPr>
        <w:pStyle w:val="Heading1"/>
      </w:pPr>
      <w:r>
        <w:rPr>
          <w:color w:val="1F4E79"/>
        </w:rPr>
        <w:t>9. Límites y pendientes</w:t>
      </w:r>
    </w:p>
    <w:p>
      <w:r>
        <w:rPr>
          <w:b w:val="0"/>
          <w:sz w:val="21"/>
        </w:rPr>
        <w:t>•  Volumen 2024 tomado del cierre 2025 (plano): si se libera el cierre 2024 real, reemplazar las columnas 2024.</w:t>
      </w:r>
    </w:p>
    <w:p>
      <w:r>
        <w:rPr>
          <w:b w:val="0"/>
          <w:sz w:val="21"/>
        </w:rPr>
        <w:t>•  Precios EST (37,5-250 kVA) y precios medio/alta sin SAP: validar con compras/PMR.</w:t>
      </w:r>
    </w:p>
    <w:p>
      <w:r>
        <w:rPr>
          <w:b w:val="0"/>
          <w:sz w:val="21"/>
        </w:rPr>
        <w:t>•  TRX por estado con share 2025: no hay desagregación oficial por estado de los métodos A/B/C, por eso se reparte el total nacional.</w:t>
      </w:r>
    </w:p>
    <w:p>
      <w:r>
        <w:rPr>
          <w:b w:val="0"/>
          <w:sz w:val="21"/>
        </w:rPr>
        <w:t>•  Revisar cuota ENOS (V03) a la salida de cada boletín IRI/NOAA mensual; recalibrar 2028 si el evento decae antes.</w:t>
      </w:r>
    </w:p>
    <w:p>
      <w:pPr>
        <w:pStyle w:val="Heading1"/>
      </w:pPr>
      <w:r>
        <w:rPr>
          <w:color w:val="1F4E79"/>
        </w:rPr>
        <w:t>10. Trazabilidad</w:t>
      </w:r>
    </w:p>
    <w:p>
      <w:r>
        <w:rPr>
          <w:b w:val="0"/>
          <w:sz w:val="21"/>
        </w:rPr>
        <w:t>Workbook: docs/NAC_2026_GGPD_INSTRUMENTO_LISTADO_MATERIALES_PLANES_V02_PROYECCION_2024_2028.xlsx · Script: F_SCRIPTS_REPRODUCIBLES/build_listado_vXX.py · Intermedios: G_INTERMEDIOS_NORMALIZADOS/kva_mix.csv, potencia_tipos.csv, trx_edo.csv, fusión 2026 · Fuentes: INF_EDO_TRX_120826.xlsx, consolidados PLAN/SCEIN/PTRSEN, catálogo SAP. Documento metodológico: este archivo (MDL_LISTADO_V02).</w:t>
      </w:r>
    </w:p>
    <w:p>
      <w:r>
        <w:rPr>
          <w:b w:val="0"/>
          <w:color w:val="595959"/>
          <w:sz w:val="18"/>
        </w:rPr>
        <w:t>FIN · GGPD 2026 · Elaborado con asistencia de IA avanzada (Gemini Flash / Antigravity AI)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