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color w:val="003366"/>
          <w:sz w:val="20"/>
        </w:rPr>
        <w:t>REPÚBLICA BOLIVARIANA DE VENEZUELA</w:t>
        <w:br/>
        <w:t>MINISTERIO DEL PODER POPULAR PARA LA ENERGÍA ELÉCTRICA</w:t>
        <w:br/>
        <w:t>CORPOELEC — GERENCIA GENERAL DE PLANIFICACIÓN Y DESARROLLO (GGPD)</w:t>
      </w:r>
    </w:p>
    <w:p>
      <w:pPr>
        <w:spacing w:before="0" w:after="80"/>
        <w:jc w:val="center"/>
      </w:pPr>
      <w:r>
        <w:rPr>
          <w:b/>
          <w:i w:val="0"/>
          <w:color w:val="006100"/>
          <w:sz w:val="16"/>
        </w:rPr>
        <w:t>🛡️ ZONA SEGURA DE GRADO INDUSTRIAL | ISO/IEC 27001 · ISO 8000-110 · OWASP ASVS · COBIT 2019</w:t>
      </w:r>
    </w:p>
    <w:p>
      <w:pPr>
        <w:spacing w:after="120"/>
      </w:pPr>
      <w:r>
        <w:rPr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  <w:jc w:val="center"/>
      </w:pPr>
      <w:r>
        <w:rPr>
          <w:b/>
          <w:i w:val="0"/>
          <w:color w:val="003366"/>
          <w:sz w:val="52"/>
        </w:rPr>
        <w:t>INSTRUMENTO V02 — LISTADO UNIFICADO DE MATERIALES PARA LOS PLANES</w:t>
      </w:r>
    </w:p>
    <w:p>
      <w:pPr>
        <w:spacing w:before="0" w:after="80"/>
        <w:jc w:val="center"/>
      </w:pPr>
      <w:r>
        <w:rPr>
          <w:b w:val="0"/>
          <w:i w:val="0"/>
          <w:color w:val="595959"/>
          <w:sz w:val="28"/>
        </w:rPr>
        <w:t>Análisis técnico-normativo de los consolidados oficiales 2025 (serie cerrada), ciclo 2026 (en curso), narrativa TRX de transformadores 2015-2026 y proyección 2024E/2027/2028 · Estándar de Certificación de Grado Industrial SEN · Doble registro: lenguaje técnico normativo y divulgación funcional.</w:t>
      </w:r>
    </w:p>
    <w:p>
      <w:pPr>
        <w:spacing w:after="120"/>
      </w:pPr>
      <w:r>
        <w:rPr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  <w:sz w:val="18"/>
              </w:rPr>
              <w:t>Código del documento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NAC_2026_GGPD_MDL_INSTRUMENTO_V02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3366"/>
                <w:sz w:val="18"/>
              </w:rPr>
              <w:t>Versión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V02 (evoluciona V01)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3366"/>
                <w:sz w:val="18"/>
              </w:rPr>
              <w:t>Fecha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Domingo 21 de septiembre de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3366"/>
                <w:sz w:val="18"/>
              </w:rPr>
              <w:t>Clasificación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USO INTERNO GGPD — RESERVA TÉCNICA (confidencialidades respetadas; documento institucional, no administrado en repositorios públicos)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3366"/>
                <w:sz w:val="18"/>
              </w:rPr>
              <w:t>Autor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Gerencia GGPD con apoyo de Inteligencia Artificial Avanzada (Google Antigravity / Gemini Flash AI)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3366"/>
                <w:sz w:val="18"/>
              </w:rPr>
              <w:t>Revisión técnica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Ing. Adian Correa (Auditoría técnica de procesos)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3366"/>
                <w:sz w:val="18"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Análisis forense de datos, gobernanza ISO 8000, proyecciones SEM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003366"/>
                <w:sz w:val="18"/>
              </w:rPr>
              <w:t>Documento de referencia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DOC-GGPD-2026-DIAG-PROC-001 · DOC-GGPD-2026-METAS-001 · DOCUMENTO_TECNICO_ISO</w:t>
            </w:r>
          </w:p>
        </w:tc>
      </w:tr>
    </w:tbl>
    <w:p>
      <w:pPr>
        <w:spacing w:after="80"/>
      </w:pPr>
    </w:p>
    <w:p>
      <w:pPr>
        <w:pStyle w:val="Heading1"/>
      </w:pPr>
      <w:r>
        <w:t>0. CONTROL DE CAMBIOS</w:t>
      </w:r>
    </w:p>
    <w:p>
      <w:pPr>
        <w:spacing w:before="0" w:after="80"/>
      </w:pPr>
      <w:r>
        <w:rPr>
          <w:b/>
          <w:i w:val="0"/>
          <w:sz w:val="16"/>
        </w:rPr>
        <w:t>| Versión | Fecha | Descripción del cambio | Elabora | Revisa |</w:t>
      </w:r>
    </w:p>
    <w:p>
      <w:pPr>
        <w:spacing w:before="0" w:after="80"/>
      </w:pPr>
      <w:r>
        <w:rPr>
          <w:b w:val="0"/>
          <w:i w:val="0"/>
          <w:sz w:val="16"/>
        </w:rPr>
        <w:t>| V01 | 14/09/2026 | Primera emisión: cruce 2025 consolidado (PLAN+SCEIN+PTRSEN) y notas técnicas TRX. | GGPD+IA | Ing. A. Correa |</w:t>
      </w:r>
    </w:p>
    <w:p>
      <w:pPr>
        <w:spacing w:before="0" w:after="80"/>
      </w:pPr>
      <w:r>
        <w:rPr>
          <w:b w:val="0"/>
          <w:i w:val="0"/>
          <w:sz w:val="16"/>
        </w:rPr>
        <w:t>| V02 | 21/09/2026 | Serie 2025 cerrada + HERRAMIENTAS + NO CATALOGADOS + TRX multianual 2015-2026 + proyecciones 3 métodos recalibradas + trazabilidad ISO 8000 y documento metodológico. | GGPD+IA | Ing. A. Correa |</w:t>
      </w:r>
    </w:p>
    <w:p>
      <w:pPr>
        <w:pStyle w:val="Heading1"/>
      </w:pPr>
      <w:r>
        <w:t>TABLA DE CONTENIDOS</w:t>
      </w:r>
    </w:p>
    <w:p>
      <w:pPr>
        <w:spacing w:before="0" w:after="80"/>
      </w:pPr>
      <w:r>
        <w:rPr>
          <w:b w:val="0"/>
          <w:i w:val="0"/>
          <w:sz w:val="18"/>
        </w:rPr>
        <w:t xml:space="preserve">   1. Objeto y alcance</w:t>
      </w:r>
    </w:p>
    <w:p>
      <w:pPr>
        <w:spacing w:before="0" w:after="80"/>
      </w:pPr>
      <w:r>
        <w:rPr>
          <w:b w:val="0"/>
          <w:i w:val="0"/>
          <w:sz w:val="18"/>
        </w:rPr>
        <w:t xml:space="preserve">   2. Fuentes de datos</w:t>
      </w:r>
    </w:p>
    <w:p>
      <w:pPr>
        <w:spacing w:before="0" w:after="80"/>
      </w:pPr>
      <w:r>
        <w:rPr>
          <w:b w:val="0"/>
          <w:i w:val="0"/>
          <w:sz w:val="18"/>
        </w:rPr>
        <w:t xml:space="preserve">   3. Metodología y gobernanza de datos (ISO 8000-110)</w:t>
      </w:r>
    </w:p>
    <w:p>
      <w:pPr>
        <w:spacing w:before="0" w:after="80"/>
      </w:pPr>
      <w:r>
        <w:rPr>
          <w:b w:val="0"/>
          <w:i w:val="0"/>
          <w:sz w:val="18"/>
        </w:rPr>
        <w:t xml:space="preserve">   4. Resultados de materiales 2025-2026</w:t>
      </w:r>
    </w:p>
    <w:p>
      <w:pPr>
        <w:spacing w:before="0" w:after="80"/>
      </w:pPr>
      <w:r>
        <w:rPr>
          <w:b w:val="0"/>
          <w:i w:val="0"/>
          <w:sz w:val="18"/>
        </w:rPr>
        <w:t xml:space="preserve">   5. Análisis TRX transformadores 2015-2026</w:t>
      </w:r>
    </w:p>
    <w:p>
      <w:pPr>
        <w:spacing w:before="0" w:after="80"/>
      </w:pPr>
      <w:r>
        <w:rPr>
          <w:b w:val="0"/>
          <w:i w:val="0"/>
          <w:sz w:val="18"/>
        </w:rPr>
        <w:t xml:space="preserve">   6. Proyección 2024E / 2027 / 2028</w:t>
      </w:r>
    </w:p>
    <w:p>
      <w:pPr>
        <w:spacing w:before="0" w:after="80"/>
      </w:pPr>
      <w:r>
        <w:rPr>
          <w:b w:val="0"/>
          <w:i w:val="0"/>
          <w:sz w:val="18"/>
        </w:rPr>
        <w:t xml:space="preserve">   7. Registro de hallazgos y reconciliaciones</w:t>
      </w:r>
    </w:p>
    <w:p>
      <w:pPr>
        <w:spacing w:before="0" w:after="80"/>
      </w:pPr>
      <w:r>
        <w:rPr>
          <w:b w:val="0"/>
          <w:i w:val="0"/>
          <w:sz w:val="18"/>
        </w:rPr>
        <w:t xml:space="preserve">   8. Limitaciones declaradas</w:t>
      </w:r>
    </w:p>
    <w:p>
      <w:pPr>
        <w:spacing w:before="0" w:after="80"/>
      </w:pPr>
      <w:r>
        <w:rPr>
          <w:b w:val="0"/>
          <w:i w:val="0"/>
          <w:sz w:val="18"/>
        </w:rPr>
        <w:t xml:space="preserve">   9. Recomendaciones</w:t>
      </w:r>
    </w:p>
    <w:p>
      <w:pPr>
        <w:spacing w:before="0" w:after="80"/>
      </w:pPr>
      <w:r>
        <w:rPr>
          <w:b w:val="0"/>
          <w:i w:val="0"/>
          <w:sz w:val="18"/>
        </w:rPr>
        <w:t xml:space="preserve">   Anexo A. Glosario técnico y divulgación</w:t>
      </w:r>
    </w:p>
    <w:p>
      <w:pPr>
        <w:spacing w:before="0" w:after="80"/>
      </w:pPr>
      <w:r>
        <w:rPr>
          <w:b w:val="0"/>
          <w:i w:val="0"/>
          <w:sz w:val="18"/>
        </w:rPr>
        <w:t xml:space="preserve">   Anexo B. Reconciliaciones numéricas</w:t>
      </w:r>
    </w:p>
    <w:p>
      <w:pPr>
        <w:spacing w:after="120"/>
      </w:pPr>
      <w:r>
        <w:rPr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OBJETO Y ALCANCE</w:t>
      </w:r>
    </w:p>
    <w:p>
      <w:pPr>
        <w:spacing w:before="0" w:after="80"/>
      </w:pPr>
      <w:r>
        <w:rPr>
          <w:b w:val="0"/>
          <w:i w:val="0"/>
          <w:sz w:val="20"/>
        </w:rPr>
        <w:t>Este documento certifica la metodología aplicada, las fuentes oficiales y los resultados del instrumento V02, que consolida en un único repositorio analítico: (i) LOS MATERIALES REQUERIDOS de la serie 2025 CERRADA para PLAN, SCEIN y PTRSEN; (ii) el ciclo 2026 EN CURSO (corte 12/08/2026) de los mismos tres orígenes; (iii) la dimensión de HERRAMIENTAS Y EQUIPOS del plan 2025; (iv) los MATERIALES NO CATALOGADOS (brecha de catálogo); (v) la narrativa TRX de transformadores 2015-2026 (instalados, pendientes, críticos y capacidad kVA); y (vi) la PROYECCIÓN de transformadores 2024E/2027/2028 bajo tres métodos documentados.</w:t>
      </w:r>
    </w:p>
    <w:p>
      <w:pPr>
        <w:spacing w:before="40" w:after="120"/>
      </w:pPr>
      <w:r>
        <w:rPr>
          <w:b/>
          <w:color w:val="C00000"/>
          <w:sz w:val="18"/>
        </w:rPr>
        <w:t xml:space="preserve">EN PALABRAS SENCILLAS · </w:t>
      </w:r>
      <w:r>
        <w:rPr>
          <w:i/>
          <w:color w:val="595959"/>
          <w:sz w:val="18"/>
        </w:rPr>
        <w:t>Se trabaja con los 55.358 registros de materiales y 51.652 registros TRX. Se respeta el resguardo de confidencialidad: no se incorporan datos personales ni claves; los precios son valores de catálogo de referencia, no compromisos de compra.</w:t>
      </w:r>
    </w:p>
    <w:p>
      <w:pPr>
        <w:pStyle w:val="Heading1"/>
      </w:pPr>
      <w:r>
        <w:t>2. FUENTES DE DATOS</w:t>
      </w:r>
    </w:p>
    <w:p>
      <w:pPr>
        <w:spacing w:before="0" w:after="80"/>
      </w:pPr>
      <w:r>
        <w:rPr>
          <w:b w:val="0"/>
          <w:i w:val="0"/>
          <w:sz w:val="20"/>
        </w:rPr>
        <w:t>Total: 6 orígenes oficiales GGPD/PTRSEN y 1 fuente alternativa de referencia (analista). Cada origen declara archivo físico, hoja, filtro de estatus y cobertura de precios (ver FUENTES_Y_CALIDAD del instrumento).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Origen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Año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Líneas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Ítems únicos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Cantidad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EUR ref.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PLAN2025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1439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1,417,410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847,993,865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SCEIN2025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2390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35,735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78,561,535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PTRSEN2025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17209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385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586,809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49,029,230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PLAN2026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383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315,353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15,674,283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SCEIN2026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2519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175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32,459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71,640,302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PTRSEN2026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31418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264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787,739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71,728,842</w:t>
            </w:r>
          </w:p>
        </w:tc>
      </w:tr>
    </w:tbl>
    <w:p>
      <w:pPr>
        <w:spacing w:before="0" w:after="80"/>
      </w:pPr>
      <w:r>
        <w:rPr>
          <w:b/>
          <w:i w:val="0"/>
          <w:sz w:val="18"/>
        </w:rPr>
        <w:t>Nota: PLAN2026 oficial llega solo con 4 estados (BOLIVAR 318 / COJEDES 7 / TACHIRA 39 / TRUJILLO 19); los 22 estados del repositorio fueron inspeccionados. PLAN2026_REFERENCIA (19 estados, 1.817 líneas, preparado por analista) se excluye de los totales oficiales y queda etiquetado como referencia.</w:t>
      </w:r>
    </w:p>
    <w:p>
      <w:pPr>
        <w:pStyle w:val="Heading1"/>
      </w:pPr>
      <w:r>
        <w:t>3. METODOLOGÍA Y GOBERNANZA DE DATOS (ISO 8000-110)</w:t>
      </w:r>
    </w:p>
    <w:p>
      <w:pPr>
        <w:spacing w:before="0" w:after="80"/>
      </w:pPr>
      <w:r>
        <w:rPr>
          <w:b w:val="0"/>
          <w:i w:val="0"/>
          <w:sz w:val="20"/>
        </w:rPr>
        <w:t>3.1 Esquema sintáctico: se fijó un esquema común (AÑO, ORIGEN, REGION, ESTADO, FAMILIA, DESCRIPCION, UNIDAD, ESTATUS, PRECIO_EUR, CANTIDAD, MONTO_EUR) y se validó contra las 6 fuentes; rechazos cero en carga. 3.2 Semántica: normalización de estados (tildes, DELTA AMACURO/LA GUAIRA), familia y descripción canónica; deduplicación del catálogo de precios a 804 ítems. 3.3 Depuración: exclusión de estatus de cierre (CONCLUIDO/RESUELTO/NORMALIZADO/EJECUTADO/CANCELADO); el resto se trata como demanda vigente. 3.4 Fusión por ítem (familia+descripción+unidad) y acumulación por origen. 3.5 Valoración: cantidad × precio de catálogo (EUR). 3.6 Trazabilidad: toda fila del resultado referencia su archivo fuente.</w:t>
      </w:r>
    </w:p>
    <w:p>
      <w:pPr>
        <w:spacing w:before="40" w:after="120"/>
      </w:pPr>
      <w:r>
        <w:rPr>
          <w:b/>
          <w:color w:val="C00000"/>
          <w:sz w:val="18"/>
        </w:rPr>
        <w:t xml:space="preserve">EN PALABRAS SENCILLAS · </w:t>
      </w:r>
      <w:r>
        <w:rPr>
          <w:i/>
          <w:color w:val="595959"/>
          <w:sz w:val="18"/>
        </w:rPr>
        <w:t>Es como armar un rompecabezas con reglas claras: primero se iguala cómo se escribe cada dato (estado, nombre del material, familia), luego se quitan los que ya están cerrados, después se suman los iguales y se les pone precio. Al final cada pieza tiene una etiqueta que dice de dónde salió, para que un auditor pueda verificarlo.</w:t>
      </w:r>
    </w:p>
    <w:p>
      <w:pPr>
        <w:pStyle w:val="Heading1"/>
      </w:pPr>
      <w:r>
        <w:t>4. RESULTADOS DE MATERIALES 2025-2026</w:t>
      </w:r>
    </w:p>
    <w:p>
      <w:pPr>
        <w:spacing w:before="0" w:after="80"/>
      </w:pPr>
      <w:r>
        <w:rPr>
          <w:b w:val="0"/>
          <w:i w:val="0"/>
          <w:sz w:val="20"/>
        </w:rPr>
        <w:t>4.1 Valor referencial nacional 2025 (serie cerrada): 983,6 M€ a precios de catálogo; 2026 en curso (parcial): 158,7 M€. El peso mayor en 2025 lo aportan SECCIONADORES, TRANSFORMADORES DE POTENCIA e INTERRUPTORES (S/E de potencia).</w:t>
      </w:r>
    </w:p>
    <w:p>
      <w:pPr>
        <w:spacing w:before="0" w:after="80"/>
      </w:pPr>
      <w:r>
        <w:rPr>
          <w:b w:val="0"/>
          <w:i w:val="0"/>
          <w:sz w:val="20"/>
        </w:rPr>
        <w:t>4.2 Comparativa 2025↔2026 (períodos no comparables directamente: 2026 incompleto y sin PLAN completo). Se recomienda usar la comparativa por ESTADO y FAMILIA sólo como señal temprana de brecha de reporte.</w:t>
      </w:r>
    </w:p>
    <w:p>
      <w:pPr>
        <w:spacing w:before="0" w:after="80"/>
      </w:pPr>
      <w:r>
        <w:rPr>
          <w:b w:val="0"/>
          <w:i w:val="0"/>
          <w:sz w:val="20"/>
        </w:rPr>
        <w:t>4.3 Materiales NO CATALOGADOS 2025: 3.042 líneas (SCEIN 144 + PTRSEN 2.898). Indica materiales solicitados en obra que no existen en el catálogo de precios: oportunidad de depuración del catálogo PMR.</w:t>
      </w:r>
    </w:p>
    <w:p>
      <w:pPr>
        <w:spacing w:before="0" w:after="80"/>
      </w:pPr>
      <w:r>
        <w:rPr>
          <w:b w:val="0"/>
          <w:i w:val="0"/>
          <w:sz w:val="20"/>
        </w:rPr>
        <w:t>4.4 HERRAMIENTAS Y EQUIPOS: 391 líneas del PLAN 2025; condición mayoritaria reportada como NO DISPONIBLE/INOPERATIVO en varios estados (cizallas, cámaras termográficas), insumo para planes de dotación.</w:t>
      </w:r>
    </w:p>
    <w:p>
      <w:pPr>
        <w:spacing w:before="0" w:after="80"/>
      </w:pPr>
      <w:r>
        <w:rPr>
          <w:b w:val="0"/>
          <w:i w:val="0"/>
          <w:sz w:val="20"/>
        </w:rPr>
        <w:t>4.5 PLAN 2026: cobertura oficial del 18% de estados ⇒ el plan 2026 no puede ejecutarse presupuestariamente con base oficial; la referencia del analista (1.817 líneas) se entrega etiquetada como NO OFICIAL.</w:t>
      </w:r>
    </w:p>
    <w:p>
      <w:pPr>
        <w:spacing w:before="40" w:after="120"/>
      </w:pPr>
      <w:r>
        <w:rPr>
          <w:b/>
          <w:color w:val="C00000"/>
          <w:sz w:val="18"/>
        </w:rPr>
        <w:t xml:space="preserve">EN PALABRAS SENCILLAS · </w:t>
      </w:r>
      <w:r>
        <w:rPr>
          <w:i/>
          <w:color w:val="595959"/>
          <w:sz w:val="18"/>
        </w:rPr>
        <w:t>Los números grandes (983 M€ en 2025) son la 'foto' del plan completo del año pasado. Para 2026 la foto está incompleta: solo 4 estados enviaron plan. Y hay 3.042 materiales que se pidieron pero no están en la lista oficial de precios: es señal de que el catálogo hay que actualizarlo.</w:t>
      </w:r>
    </w:p>
    <w:p>
      <w:pPr>
        <w:pStyle w:val="Heading1"/>
      </w:pPr>
      <w:r>
        <w:t>5. ANÁLISIS TRX TRANSFORMADORES 2015-2026</w:t>
      </w:r>
    </w:p>
    <w:p>
      <w:pPr>
        <w:spacing w:before="0" w:after="80"/>
      </w:pPr>
      <w:r>
        <w:rPr>
          <w:b w:val="0"/>
          <w:i w:val="0"/>
          <w:sz w:val="20"/>
        </w:rPr>
        <w:t>5.1 Acumulados (matriz TOTAL POR ESTADO de INF_EDO_TRX_120826): INSTALADOS 44.602; PENDIENTES 7.049; suma 51.651≈51.652 (capacidad). PARQUE nacional a dic-2025: 714.432; instalados 2026 (hasta 12/08): 5.627.</w:t>
      </w:r>
    </w:p>
    <w:p>
      <w:pPr>
        <w:spacing w:before="0" w:after="80"/>
      </w:pPr>
      <w:r>
        <w:rPr>
          <w:b w:val="0"/>
          <w:i w:val="0"/>
          <w:sz w:val="20"/>
        </w:rPr>
        <w:t>5.2 Críticos pendientes (ESTADISTICAS TRX): 4.159. La definición de 'PENDIENTE' (matriz) difiere de 'CRÍTICO PENDIENTE' (reporte): el primero suma estados y el segundo aplica clasificación crítica. La brecha de 2.890 unidades entre ambas métricas es un hallazgo de gobierno de indicadores.</w:t>
      </w:r>
    </w:p>
    <w:p>
      <w:pPr>
        <w:spacing w:before="0" w:after="80"/>
      </w:pPr>
      <w:r>
        <w:rPr>
          <w:b w:val="0"/>
          <w:i w:val="0"/>
          <w:sz w:val="20"/>
        </w:rPr>
        <w:t>5.3 7.822 de 44.602 instalados (17,5%) están 'SIN FECHA (NO REPORTADO)': limita trazabilidad mensual. Disparidad pendientes por estado (7.049) vs pendientes por año (6.829) = 220 sin asignación.</w:t>
      </w:r>
    </w:p>
    <w:p>
      <w:pPr>
        <w:spacing w:before="0" w:after="80"/>
      </w:pPr>
      <w:r>
        <w:rPr>
          <w:b w:val="0"/>
          <w:i w:val="0"/>
          <w:sz w:val="20"/>
        </w:rPr>
        <w:t>5.4 Recencla de reportes: 7 estados reportaron por última vez en JUNIO (corte 12/08): DISTRITO CAPITAL, LA GUAIRA, CARABOBO, MIRANDA, FALCÓN, ARAGUA, YARACUY.</w:t>
      </w:r>
    </w:p>
    <w:p>
      <w:pPr>
        <w:spacing w:before="40" w:after="120"/>
      </w:pPr>
      <w:r>
        <w:rPr>
          <w:b/>
          <w:color w:val="C00000"/>
          <w:sz w:val="18"/>
        </w:rPr>
        <w:t xml:space="preserve">EN PALABRAS SENCILLAS · </w:t>
      </w:r>
      <w:r>
        <w:rPr>
          <w:i/>
          <w:color w:val="595959"/>
          <w:sz w:val="18"/>
        </w:rPr>
        <w:t>En criollo: hay 44.602 transformadores instalados y 7.049 pendientes de instalar desde 2015. De estos últimos 4.159 son 'críticos', los que más urge atender. Además 7.822 instalados no traen fecha, y 7 estados dejaron de actualizar su reporte desde junio. Con esos pendientes se calculan las necesidades de compra 2027-2028.</w:t>
      </w:r>
    </w:p>
    <w:p>
      <w:pPr>
        <w:pStyle w:val="Heading1"/>
      </w:pPr>
      <w:r>
        <w:t>6. PROYECCIÓN 2024E / 2027 / 2028</w:t>
      </w:r>
    </w:p>
    <w:p>
      <w:pPr>
        <w:spacing w:before="0" w:after="80"/>
      </w:pPr>
      <w:r>
        <w:rPr>
          <w:b w:val="0"/>
          <w:i w:val="0"/>
          <w:sz w:val="20"/>
        </w:rPr>
        <w:t>Tres métodos para la demanda de reposición de transformadores (nacional = suma por estado):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Método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2024E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Racional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Uso recomendado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A. MEDIA MÓVIL + BACKLOG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8.017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18.201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11.152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2027 = media(2023-25)+7.049 pend.; 2028 = media(2023-25). 'Primero se salda la cola, luego se repone al ritmo reciente'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Horizonte de compra 2027 (incluye cola)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B. TASA SOBRE PARQUE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8.017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11.596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11.596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Tasa instalados/parque (media 2024-25) constante sobre 714.432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Planificación por inventario instalado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C. TENDENCIA LINEAL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4.492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4.492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4.492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Mínimos cuadrados 2020-25 con cota ≥0 y respaldo a media móvil en series cortas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Escenario conservador</w:t>
            </w:r>
          </w:p>
        </w:tc>
      </w:tr>
    </w:tbl>
    <w:p>
      <w:pPr>
        <w:spacing w:before="0" w:after="80"/>
      </w:pPr>
      <w:r>
        <w:rPr>
          <w:b/>
          <w:i w:val="0"/>
          <w:sz w:val="18"/>
        </w:rPr>
        <w:t>Advertencias: estimaciones de DEMANDA de reposición, no compromisos de compra. El cálculo 2024E es retrospectivo y NO debe leerse como cierre oficial. C conservadora por el decaimiento de la serie 2023-2025.</w:t>
      </w:r>
    </w:p>
    <w:p>
      <w:pPr>
        <w:spacing w:before="40" w:after="120"/>
      </w:pPr>
      <w:r>
        <w:rPr>
          <w:b/>
          <w:color w:val="C00000"/>
          <w:sz w:val="18"/>
        </w:rPr>
        <w:t xml:space="preserve">EN PALABRAS SENCILLAS · </w:t>
      </w:r>
      <w:r>
        <w:rPr>
          <w:i/>
          <w:color w:val="595959"/>
          <w:sz w:val="18"/>
        </w:rPr>
        <w:t>Son tres formas distintas de adivinar cuánta compra se necesita. 'A' dice: salda primero los 7.049 pendientes y luego compra al ritmo de los últimos 3 años (≈18.200 en 2027). 'B' dice: compra según el tamaño del parque instalado (≈11.600). 'C' dice: la tendencia bajó, así que compra conservador (≈4.500). Ninguna es una orden de compra, solo cálculo.</w:t>
      </w:r>
    </w:p>
    <w:p>
      <w:pPr>
        <w:pStyle w:val="Heading1"/>
      </w:pPr>
      <w:r>
        <w:t>7. REGISTRO DE HALLAZGOS Y RECONCILIACIONES</w:t>
      </w:r>
    </w:p>
    <w:p>
      <w:pPr>
        <w:spacing w:before="0" w:after="80"/>
      </w:pPr>
      <w:r>
        <w:rPr>
          <w:b/>
          <w:i w:val="0"/>
          <w:sz w:val="18"/>
        </w:rPr>
        <w:t>7.1 PENDIENTES estados 7.049 ≠ pendientes por año 6.829 (Δ220).</w:t>
      </w:r>
    </w:p>
    <w:p>
      <w:pPr>
        <w:spacing w:before="0" w:after="80"/>
      </w:pPr>
      <w:r>
        <w:rPr>
          <w:b w:val="0"/>
          <w:i w:val="0"/>
          <w:sz w:val="18"/>
        </w:rPr>
        <w:t>Reconciliación por asignar: verificar filas sin año.</w:t>
      </w:r>
    </w:p>
    <w:p>
      <w:pPr>
        <w:spacing w:before="0" w:after="80"/>
      </w:pPr>
      <w:r>
        <w:rPr>
          <w:b/>
          <w:i w:val="0"/>
          <w:sz w:val="18"/>
        </w:rPr>
        <w:t>7.2 INTERRUPTORES/TRANSF potencia duplicados sintácticos '10MVA' vs '10 MVA' en 2026.</w:t>
      </w:r>
    </w:p>
    <w:p>
      <w:pPr>
        <w:spacing w:before="0" w:after="80"/>
      </w:pPr>
      <w:r>
        <w:rPr>
          <w:b w:val="0"/>
          <w:i w:val="0"/>
          <w:sz w:val="18"/>
        </w:rPr>
        <w:t>Fusión semántica pendiente en catálogo.</w:t>
      </w:r>
    </w:p>
    <w:p>
      <w:pPr>
        <w:spacing w:before="0" w:after="80"/>
      </w:pPr>
      <w:r>
        <w:rPr>
          <w:b/>
          <w:i w:val="0"/>
          <w:sz w:val="18"/>
        </w:rPr>
        <w:t>7.3 PLAN 2026 con 4/22 estados; brecha de reporte de 18 estados.</w:t>
      </w:r>
    </w:p>
    <w:p>
      <w:pPr>
        <w:spacing w:before="0" w:after="80"/>
      </w:pPr>
      <w:r>
        <w:rPr>
          <w:b w:val="0"/>
          <w:i w:val="0"/>
          <w:sz w:val="18"/>
        </w:rPr>
        <w:t>Alerta de gobernanza: la base oficial 2026 no dimensiona el plan.</w:t>
      </w:r>
    </w:p>
    <w:p>
      <w:pPr>
        <w:spacing w:before="0" w:after="80"/>
      </w:pPr>
      <w:r>
        <w:rPr>
          <w:b/>
          <w:i w:val="0"/>
          <w:sz w:val="18"/>
        </w:rPr>
        <w:t>7.4 ZULIA pendiente 3.073 vs críticos 2.153 (Ω=920): el reporte crítico puede subestimar la urgencia.</w:t>
      </w:r>
    </w:p>
    <w:p>
      <w:pPr>
        <w:spacing w:before="0" w:after="80"/>
      </w:pPr>
      <w:r>
        <w:rPr>
          <w:b w:val="0"/>
          <w:i w:val="0"/>
          <w:sz w:val="18"/>
        </w:rPr>
        <w:t>Validar concatenación de criterios críticos.</w:t>
      </w:r>
    </w:p>
    <w:p>
      <w:pPr>
        <w:spacing w:before="0" w:after="80"/>
      </w:pPr>
      <w:r>
        <w:rPr>
          <w:b/>
          <w:i w:val="0"/>
          <w:sz w:val="18"/>
        </w:rPr>
        <w:t>7.5 Reinversión: El 61% de pendientes nacionales se concentra en ZULIA, ANZOÁTEGUI, SUCRE, CARABOBO.</w:t>
      </w:r>
    </w:p>
    <w:p>
      <w:pPr>
        <w:spacing w:before="0" w:after="80"/>
      </w:pPr>
      <w:r>
        <w:rPr>
          <w:b w:val="0"/>
          <w:i w:val="0"/>
          <w:sz w:val="18"/>
        </w:rPr>
        <w:t>Priorizar asignación por matrices.</w:t>
      </w:r>
    </w:p>
    <w:p>
      <w:pPr>
        <w:spacing w:before="0" w:after="80"/>
      </w:pPr>
      <w:r>
        <w:rPr>
          <w:b/>
          <w:i w:val="0"/>
          <w:sz w:val="18"/>
        </w:rPr>
        <w:t>7.6 7.822 instalados 'SIN FECHA' (17,5%).</w:t>
      </w:r>
    </w:p>
    <w:p>
      <w:pPr>
        <w:spacing w:before="0" w:after="80"/>
      </w:pPr>
      <w:r>
        <w:rPr>
          <w:b w:val="0"/>
          <w:i w:val="0"/>
          <w:sz w:val="18"/>
        </w:rPr>
        <w:t>Acción: solicitar fecha a los estados.</w:t>
      </w:r>
    </w:p>
    <w:p>
      <w:pPr>
        <w:spacing w:before="0" w:after="80"/>
      </w:pPr>
      <w:r>
        <w:rPr>
          <w:b/>
          <w:i w:val="0"/>
          <w:sz w:val="18"/>
        </w:rPr>
        <w:t>7.7 Precios con cobertura 93,7%-100%; sin-precio visible por estado.</w:t>
      </w:r>
    </w:p>
    <w:p>
      <w:pPr>
        <w:spacing w:before="0" w:after="80"/>
      </w:pPr>
      <w:r>
        <w:rPr>
          <w:b w:val="0"/>
          <w:i w:val="0"/>
          <w:sz w:val="18"/>
        </w:rPr>
        <w:t>Brecha menor, catalogar.</w:t>
      </w:r>
    </w:p>
    <w:p>
      <w:pPr>
        <w:spacing w:before="40" w:after="120"/>
      </w:pPr>
      <w:r>
        <w:rPr>
          <w:b/>
          <w:color w:val="C00000"/>
          <w:sz w:val="18"/>
        </w:rPr>
        <w:t xml:space="preserve">EN PALABRAS SENCILLAS · </w:t>
      </w:r>
      <w:r>
        <w:rPr>
          <w:i/>
          <w:color w:val="595959"/>
          <w:sz w:val="18"/>
        </w:rPr>
        <w:t>El resumen para cualquiera: los pendientes no suman igual según se cuenten por estado o por año (diferencia de 220), el plan 2026 solo llegó de 4 estados, Zulia concentra pendientes que el reporte 'crítico' no refleja completo, y casi 8 mil instalados no tienen fecha. Son cosas fáciles de explicar en una reunión y difíciles de corregir después.</w:t>
      </w:r>
    </w:p>
    <w:p>
      <w:pPr>
        <w:pStyle w:val="Heading1"/>
      </w:pPr>
      <w:r>
        <w:t>8. LIMITACIONES DECLARADAS</w:t>
      </w:r>
    </w:p>
    <w:p>
      <w:pPr>
        <w:spacing w:before="0" w:after="80"/>
      </w:pPr>
      <w:r>
        <w:rPr>
          <w:b w:val="0"/>
          <w:i w:val="0"/>
          <w:sz w:val="18"/>
        </w:rPr>
        <w:t>8.1 Ciclo 2026 en curso (corte 12/08/2026), no comparable con 2025 cerrado.</w:t>
      </w:r>
    </w:p>
    <w:p>
      <w:pPr>
        <w:spacing w:before="0" w:after="80"/>
      </w:pPr>
      <w:r>
        <w:rPr>
          <w:b w:val="0"/>
          <w:i w:val="0"/>
          <w:sz w:val="18"/>
        </w:rPr>
        <w:t>8.2 Estatus en blanco en PTRSEN/SCEIN: no distingue 'cerrada' de 'no reportada'.</w:t>
      </w:r>
    </w:p>
    <w:p>
      <w:pPr>
        <w:spacing w:before="0" w:after="80"/>
      </w:pPr>
      <w:r>
        <w:rPr>
          <w:b w:val="0"/>
          <w:i w:val="0"/>
          <w:sz w:val="18"/>
        </w:rPr>
        <w:t>8.3 Precios de catálogo representativos; no incluyen logística, tributos ni variabilidad de mercado.</w:t>
      </w:r>
    </w:p>
    <w:p>
      <w:pPr>
        <w:spacing w:before="0" w:after="80"/>
      </w:pPr>
      <w:r>
        <w:rPr>
          <w:b w:val="0"/>
          <w:i w:val="0"/>
          <w:sz w:val="18"/>
        </w:rPr>
        <w:t>8.4 Cálculo 2024E retrospectivo con carácter metodológico.</w:t>
      </w:r>
    </w:p>
    <w:p>
      <w:pPr>
        <w:spacing w:before="0" w:after="80"/>
      </w:pPr>
      <w:r>
        <w:rPr>
          <w:b w:val="0"/>
          <w:i w:val="0"/>
          <w:sz w:val="18"/>
        </w:rPr>
        <w:t>8.5 No se modificó ninguno de los entregables originales; V01 permanece intacto.</w:t>
      </w:r>
    </w:p>
    <w:p>
      <w:pPr>
        <w:pStyle w:val="Heading1"/>
      </w:pPr>
      <w:r>
        <w:t>9. RECOMENDACIONES</w:t>
      </w:r>
    </w:p>
    <w:p>
      <w:pPr>
        <w:spacing w:before="0" w:after="80"/>
      </w:pPr>
      <w:r>
        <w:rPr>
          <w:b w:val="0"/>
          <w:i w:val="0"/>
          <w:sz w:val="18"/>
        </w:rPr>
        <w:t>9.1. Cerrar la brecha de reporte 2026 solicitando la hoja MATERIALES REQUERIDOS DEL PLAN a los 18 estados faltantes (con plantilla de esquema común).</w:t>
      </w:r>
    </w:p>
    <w:p>
      <w:pPr>
        <w:spacing w:before="0" w:after="80"/>
      </w:pPr>
      <w:r>
        <w:rPr>
          <w:b w:val="0"/>
          <w:i w:val="0"/>
          <w:sz w:val="18"/>
        </w:rPr>
        <w:t>9.2. Instruir alta en catálogo PMR de los 3.042 materiales NO CATALOGADOS antes del cierre 2026.</w:t>
      </w:r>
    </w:p>
    <w:p>
      <w:pPr>
        <w:spacing w:before="0" w:after="80"/>
      </w:pPr>
      <w:r>
        <w:rPr>
          <w:b w:val="0"/>
          <w:i w:val="0"/>
          <w:sz w:val="18"/>
        </w:rPr>
        <w:t>9.3. Unificar la semántica del catálogo (matriz de descripciones canónicas) para fusionar duplicados sintácticos.</w:t>
      </w:r>
    </w:p>
    <w:p>
      <w:pPr>
        <w:spacing w:before="0" w:after="80"/>
      </w:pPr>
      <w:r>
        <w:rPr>
          <w:b w:val="0"/>
          <w:i w:val="0"/>
          <w:sz w:val="18"/>
        </w:rPr>
        <w:t>9.4. Definir un único indicador de pendientes (estado vs año) y auditar los 220 registros sin asignación.</w:t>
      </w:r>
    </w:p>
    <w:p>
      <w:pPr>
        <w:spacing w:before="0" w:after="80"/>
      </w:pPr>
      <w:r>
        <w:rPr>
          <w:b w:val="0"/>
          <w:i w:val="0"/>
          <w:sz w:val="18"/>
        </w:rPr>
        <w:t>9.5. Generar un tracking mensual de fecha de operación para erradicar los 'SIN FECHA (NO REPORTADO)'.</w:t>
      </w:r>
    </w:p>
    <w:p>
      <w:pPr>
        <w:spacing w:before="0" w:after="80"/>
      </w:pPr>
      <w:r>
        <w:rPr>
          <w:b w:val="0"/>
          <w:i w:val="0"/>
          <w:sz w:val="18"/>
        </w:rPr>
        <w:t>9.6. Usar Método A (18.201 und) como horizonte de compra 2027 y Método B (11.596) como planificación por parque; documentar divergencias con C.</w:t>
      </w:r>
    </w:p>
    <w:p>
      <w:pPr>
        <w:spacing w:after="120"/>
      </w:pPr>
      <w:r>
        <w:rPr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ANEXO A. GLOSARIO TÉCNICO Y DIVULGACIÓN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Término técnico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 palabras sencillas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>PLAN (materiales requeridos del plan)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Lista maestra de materiales que el plan de mantenimiento pidió: cables, conectores, cárcavas, etc.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>SCEIN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Equipos de subestaciones que están indisponibles; sus repuestos son lo que aquí se lista.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>PTRSEN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Restricciones operativas de circuitos (no hay transformador/conductor disponible); aquí se listan lo que se necesita para levantarlas.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>Fusión por ítem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Quitar duplicados: mismo material pedido por varios programas se suma en una sola fila.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>Catálogo de precios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Lista única de precios de referencia (EUR) para valorar el plan.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>Backlog / cola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Trabajo pendiente acumulado de años anteriores que aún no se instala.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>Método A/B/C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Tres recetas distintas para estimar la futura compra de transformadores.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6"/>
              </w:rPr>
              <w:t>Cobertura de precio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Porcentaje de líneas cuyo material tiene precio en el catálogo.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ANEXO B. RECONCILIACIONES NUMÉRICAS</w:t>
      </w:r>
    </w:p>
    <w:p>
      <w:pPr>
        <w:spacing w:before="0" w:after="80"/>
      </w:pPr>
      <w:r>
        <w:rPr>
          <w:b w:val="0"/>
          <w:i w:val="0"/>
          <w:sz w:val="18"/>
        </w:rPr>
        <w:t>B.1 INSTALADOS: matriz por estado 44.602 = suma de filas por año (CONCILIA).</w:t>
      </w:r>
    </w:p>
    <w:p>
      <w:pPr>
        <w:spacing w:before="0" w:after="80"/>
      </w:pPr>
      <w:r>
        <w:rPr>
          <w:b w:val="0"/>
          <w:i w:val="0"/>
          <w:sz w:val="18"/>
        </w:rPr>
        <w:t>B.2 CAPACIDAD: histograma 2015-2026 = 51.652 ≈ 44.602 + 7.049 (CONCILIA por definición).</w:t>
      </w:r>
    </w:p>
    <w:p>
      <w:pPr>
        <w:spacing w:before="0" w:after="80"/>
      </w:pPr>
      <w:r>
        <w:rPr>
          <w:b w:val="0"/>
          <w:i w:val="0"/>
          <w:sz w:val="18"/>
        </w:rPr>
        <w:t>B.3 PENDIENTES: estados 7.049 vs años 6.829 → Δ 220 sin asignación (ABIERTA).</w:t>
      </w:r>
    </w:p>
    <w:p>
      <w:pPr>
        <w:spacing w:before="0" w:after="80"/>
      </w:pPr>
      <w:r>
        <w:rPr>
          <w:b w:val="0"/>
          <w:i w:val="0"/>
          <w:sz w:val="18"/>
        </w:rPr>
        <w:t>B.4 No catalogados: PTTRSEN 2.898 (INCLUIDO EN PLAN NAC = NO) + SCEIN 144 (hoja MAT. NO INCLUIDOS).</w:t>
      </w:r>
    </w:p>
    <w:p>
      <w:pPr>
        <w:spacing w:before="0" w:after="80"/>
      </w:pPr>
      <w:r>
        <w:rPr>
          <w:b w:val="0"/>
          <w:i w:val="0"/>
          <w:sz w:val="18"/>
        </w:rPr>
        <w:t>B.5 HERRAMIENTAS: hoja HERRAMIENTAS 2025 (391 líneas) contabilizadas sin tipo.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33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