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0"/>
        </w:rPr>
        <w:t>CORPOELEC · GERENCIA GENERAL DE PLANIFICACIÓN DE DISTRIBUCIÓN (GGPD) · V03</w:t>
      </w:r>
    </w:p>
    <w:p>
      <w:r>
        <w:rPr>
          <w:b/>
          <w:sz w:val="20"/>
        </w:rPr>
        <w:t>Reserva de Emergencia por Fenómeno ENOS 2026 (El Niño histórico): DELTA sobre la línea base V01/V02 para subestaciones y circuitos de MT</w:t>
      </w:r>
    </w:p>
    <w:p>
      <w:r>
        <w:rPr>
          <w:b w:val="0"/>
          <w:color w:val="595959"/>
          <w:sz w:val="18"/>
        </w:rPr>
        <w:t>Código: NAC_2026_GGPD_MDL_INSTRUMENTO_V03 · Septiembre 2026 · Versión V03</w:t>
      </w:r>
    </w:p>
    <w:p>
      <w:r>
        <w:rPr>
          <w:b w:val="0"/>
          <w:color w:val="595959"/>
          <w:sz w:val="18"/>
        </w:rPr>
        <w:t>Documento metodológico. Estándar de Grado Industrial: ISO 8000-110 (calidad de datos) · ISO/IEC 27001 (este documento NO es confidencial; informe ejecutivo en /clasificados).</w:t>
      </w:r>
    </w:p>
    <w:p/>
    <w:p>
      <w:pPr>
        <w:pStyle w:val="Heading1"/>
      </w:pPr>
      <w:r>
        <w:rPr>
          <w:color w:val="1F4E79"/>
        </w:rPr>
        <w:t>1. Objetivo</w:t>
      </w:r>
    </w:p>
    <w:p>
      <w:r>
        <w:rPr>
          <w:b w:val="0"/>
          <w:sz w:val="21"/>
        </w:rPr>
        <w:t>Cuantificar la reserva de emergencia que CORPOELEC debe sumar (DELTA) sobre la línea base de materiales V01 y la estacionalidad V02 para responder al fenómeno El Niño 2026-2027, clasificado por NOAA/IRI como evento MUY FUERTE con el 75% de probabilidad de ser el más intenso desde 1950. El instrumento V03 entregável es una reserva extraordinaria de cobertura (cuota ENOS + stock de seguridad 99%), no una recompra de la base.</w:t>
      </w:r>
    </w:p>
    <w:p>
      <w:r>
        <w:rPr>
          <w:b/>
          <w:color w:val="006100"/>
          <w:sz w:val="21"/>
        </w:rPr>
        <w:t>Regla de continuidad: la V01 ya fijó la línea base anual de materiales; la V02 repartió esa base en el año (mes a mes); la V03 solo suma lo que EXIGE el escenario climático. No se duplica ninguna compra normal.</w:t>
      </w:r>
    </w:p>
    <w:p>
      <w:pPr>
        <w:pStyle w:val="Heading1"/>
      </w:pPr>
      <w:r>
        <w:rPr>
          <w:color w:val="1F4E79"/>
        </w:rPr>
        <w:t>2. El fenómeno ENOS 2026 probado por las fuentes (15-21/09/2026)</w:t>
      </w:r>
    </w:p>
    <w:p>
      <w:r>
        <w:rPr>
          <w:b w:val="0"/>
          <w:sz w:val="21"/>
        </w:rPr>
        <w:t>•  NOAA/CPC — ENSO Diagnostic Discussion 10-09-2026: persiste El Niño Advisory (vigente desde 2025). Anomalías: Niño-3.4 mensual ≈ +1,8 °C; Niño-1+2 ≈ +3,4 °C; contenido de calor subsuperficial del Pacífico ≈ +10 °C. Probabilidades: &gt;90% evento MUY FUERTE en otoño-invierno 2026-27; 75% de probabilidad de alcanzar condición HISTÓRICA (RONI ≥ +2,5 °C) durante OND-2026, lo que supera cualquier evento desde 1950.</w:t>
      </w:r>
    </w:p>
    <w:p>
      <w:r>
        <w:rPr>
          <w:b w:val="0"/>
          <w:sz w:val="21"/>
        </w:rPr>
        <w:t>•  IRI/CCS — Technical ENSO Update 21-09-2026: Niño-3.4 semanal +3,0 °C (mediados sep); SOI −20,1; 22/22 modelos = 'muy fuerte'; probabilidad El Niño: 100% SON-2026 y OND-2026, 100% hasta FMA-2027, 90% AMJ-2027, 61% MJJ-2027. Índice IOD positivo probable (refuerza aridez en zona norte de la región).</w:t>
      </w:r>
    </w:p>
    <w:p>
      <w:r>
        <w:rPr>
          <w:b w:val="0"/>
          <w:sz w:val="21"/>
        </w:rPr>
        <w:t>•  El evento 2026 se proyecta comparable o superior al El Niño 2015-16 (ONI pico ≈ +2,6 °C), referencia clásica de sobrecalentamiento y anomalías secas/húmedas opuestas en el continente.</w:t>
      </w:r>
    </w:p>
    <w:p>
      <w:r>
        <w:rPr>
          <w:b w:val="0"/>
          <w:sz w:val="21"/>
        </w:rPr>
        <w:t>•  National Weather Service de la NOAA emite alertas de reducción de exportaciones hidroeléctricas de la región — en CORPOELEC el riesgo es: ola de calor + aridez → mayor combustión (refrigeración), mayor carga de aire acondicionado, más vegetación seca → más fallas de red y de transformadores.</w:t>
      </w:r>
    </w:p>
    <w:p>
      <w:r>
        <w:rPr>
          <w:b w:val="0"/>
          <w:sz w:val="21"/>
        </w:rPr>
        <w:t>•  INAMEH (referencia institucional): boletines oficiales de anomalía térmica/pluvial del periodo a recopilar para el cierre formal del archivo.</w:t>
      </w:r>
    </w:p>
    <w:p>
      <w:pPr>
        <w:pStyle w:val="Heading1"/>
      </w:pPr>
      <w:r>
        <w:rPr>
          <w:color w:val="1F4E79"/>
        </w:rPr>
        <w:t>3. Factor de Estrés Climático (FEC) — método y resultado</w:t>
      </w:r>
    </w:p>
    <w:p>
      <w:r>
        <w:rPr>
          <w:b w:val="0"/>
          <w:sz w:val="21"/>
        </w:rPr>
        <w:t>Se comparan los años de El Niño medibles de la serie interna TRX (2023 Fuerte, 2024 Fuerte-declarado) contra la tendencia lineal ajustada sobre años NEUTROS completos disponibles (2021, 2022, 2025). El cociente real/tendencia es el multiplicador k de cada año de evento.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r>
              <w:rPr>
                <w:b/>
                <w:color w:val="1F4E79"/>
                <w:sz w:val="18"/>
              </w:rPr>
              <w:t>SERIE</w:t>
            </w:r>
          </w:p>
        </w:tc>
        <w:tc>
          <w:tcPr>
            <w:tcW w:type="dxa" w:w="1984"/>
          </w:tcPr>
          <w:p>
            <w:r>
              <w:rPr>
                <w:b/>
                <w:color w:val="1F4E79"/>
                <w:sz w:val="18"/>
              </w:rPr>
              <w:t>Base años neutros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k 2023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k 2024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k medio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Fallas TRX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2021·2022·2025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1.22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1.28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1.25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Solicitudes TRX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2021·2022·2025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1.31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1.43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1.37</w:t>
            </w:r>
          </w:p>
        </w:tc>
      </w:tr>
    </w:tbl>
    <w:p>
      <w:r>
        <w:rPr>
          <w:b w:val="0"/>
          <w:sz w:val="21"/>
        </w:rPr>
        <w:t>Valor de diseño adoptado: FEC = k = 1,30 (+30%). Justificación: (a) está dentro del rango medido (1,17-1,54 según la serie y el ancla); (b) redondea hacia abajo el promedio de las 4 medidas (1,31) → conservador; (c) el escenario 2026 anunciado es HISTÓRICO, con probabilidad de superar incluso a 2015-16, por lo que el 30% no es exagerado.</w:t>
      </w:r>
    </w:p>
    <w:p>
      <w:r>
        <w:rPr>
          <w:b w:val="0"/>
          <w:color w:val="595959"/>
          <w:sz w:val="21"/>
        </w:rPr>
        <w:t>Exclusión documentada: los años 2015-2016 no entran en el cálculo porque la captura interna TRX anterior a 2019 es casi nula (2015: 2 fallas, 2016: 9; campañas de inventario comenzaron en 2019). Se citan como referencia institucional cualitativa, no como dato.</w:t>
      </w:r>
    </w:p>
    <w:p>
      <w:pPr>
        <w:pStyle w:val="Heading1"/>
      </w:pPr>
      <w:r>
        <w:rPr>
          <w:color w:val="1F4E79"/>
        </w:rPr>
        <w:t>4. Stock de seguridad y matriz de reserva V03</w:t>
      </w:r>
    </w:p>
    <w:p>
      <w:r>
        <w:rPr>
          <w:b w:val="0"/>
          <w:sz w:val="21"/>
        </w:rPr>
        <w:t>Modelo de inventario de emergencia (método del libro de confiabilidad IEEE 493 / gestión de stocks de seguridad):</w:t>
      </w:r>
    </w:p>
    <w:p>
      <w:r>
        <w:rPr>
          <w:b/>
          <w:sz w:val="21"/>
        </w:rPr>
        <w:t>INCREMENTO_V03 = CUOTA_ENOS + SS_99</w:t>
      </w:r>
    </w:p>
    <w:p>
      <w:r>
        <w:rPr>
          <w:b/>
          <w:sz w:val="21"/>
        </w:rPr>
        <w:t>CUOTA_ENOS = D_base × (k−1) × cobertura_año    con (k−1)=0,30</w:t>
      </w:r>
    </w:p>
    <w:p>
      <w:r>
        <w:rPr>
          <w:b/>
          <w:sz w:val="21"/>
        </w:rPr>
        <w:t>SS_99 = Z_99% × σ × (D_base × (1 + cobertura × (k−1)) / 12) × √LT      con Z_99% = 2,326 (dist. normal), σ = 15% de la demanda anual (CV residual medido ≈0,153)</w:t>
      </w:r>
    </w:p>
    <w:p>
      <w:r>
        <w:rPr>
          <w:b w:val="0"/>
          <w:sz w:val="21"/>
        </w:rPr>
        <w:t>Dónde: LT = lead time de reposición (ALTA 6 m · MEDIA 9 m · TRX distribución 18 m · TRX potencia 24 m); cobertura anual: 2026 = 0,40 · 2027 = 0,50 · 2028 = 0,25.</w:t>
      </w:r>
    </w:p>
    <w:p>
      <w:r>
        <w:rPr>
          <w:b w:val="0"/>
          <w:color w:val="595959"/>
          <w:sz w:val="21"/>
        </w:rPr>
        <w:t>Justificación de coberturas: 2026 ya está en marcha (El Niño activo desde principios de año, máximo otoño-invierno) → 40% del año bajo choque. 2027 concentra el máximo sostenido (evento hasta FMA-2027, con probabilidad &gt;90% aún en mayo-julio) → 50%. 2028 es la cola residual de estrés y reconversión post-evento → 25%.</w:t>
      </w:r>
    </w:p>
    <w:p>
      <w:r>
        <w:rPr>
          <w:b/>
          <w:sz w:val="21"/>
        </w:rPr>
        <w:t>Resultado (unidades) — memoria completa: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Componente</w:t>
            </w:r>
          </w:p>
        </w:tc>
        <w:tc>
          <w:tcPr>
            <w:tcW w:type="dxa" w:w="850"/>
          </w:tcPr>
          <w:p>
            <w:r>
              <w:rPr>
                <w:b/>
                <w:color w:val="1F4E79"/>
                <w:sz w:val="18"/>
              </w:rPr>
              <w:t>Año</w:t>
            </w:r>
          </w:p>
        </w:tc>
        <w:tc>
          <w:tcPr>
            <w:tcW w:type="dxa" w:w="1474"/>
          </w:tcPr>
          <w:p>
            <w:r>
              <w:rPr>
                <w:b/>
                <w:color w:val="1F4E79"/>
                <w:sz w:val="18"/>
              </w:rPr>
              <w:t>Base V01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Cuota ENOS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SS 99%</w:t>
            </w:r>
          </w:p>
        </w:tc>
        <w:tc>
          <w:tcPr>
            <w:tcW w:type="dxa" w:w="1474"/>
          </w:tcPr>
          <w:p>
            <w:r>
              <w:rPr>
                <w:b/>
                <w:color w:val="1F4E79"/>
                <w:sz w:val="18"/>
              </w:rPr>
              <w:t>Incremento V03</w:t>
            </w:r>
          </w:p>
        </w:tc>
        <w:tc>
          <w:tcPr>
            <w:tcW w:type="dxa" w:w="1474"/>
          </w:tcPr>
          <w:p>
            <w:r>
              <w:rPr>
                <w:b/>
                <w:color w:val="1F4E79"/>
                <w:sz w:val="18"/>
              </w:rPr>
              <w:t>Total V03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31348.0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20837.0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52185.0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313418.0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39185.0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21395.0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60580.0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321813.0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19592.0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20000.0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39593.0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300826.0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78.0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4944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593.0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683.0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1276.0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6220.0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18201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2730.0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2582.0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5312.0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23513.0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11152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836.0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1479.0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2315.0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13467.0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34.0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155.0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38.0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159.0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149.0</w:t>
            </w:r>
          </w:p>
        </w:tc>
      </w:tr>
    </w:tbl>
    <w:p>
      <w:pPr>
        <w:pStyle w:val="Heading1"/>
      </w:pPr>
      <w:r>
        <w:rPr>
          <w:color w:val="1F4E79"/>
        </w:rPr>
        <w:t>5. Tabla anualizada 2026-2028 — formato de entrega</w:t>
      </w:r>
    </w:p>
    <w:p>
      <w:r>
        <w:rPr>
          <w:b/>
          <w:color w:val="1F4E79"/>
          <w:sz w:val="21"/>
        </w:rPr>
        <w:t>RESERVAS 2026: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1F4E79"/>
                <w:sz w:val="18"/>
              </w:rPr>
              <w:t>Material/Equipo</w:t>
            </w:r>
          </w:p>
        </w:tc>
        <w:tc>
          <w:tcPr>
            <w:tcW w:type="dxa" w:w="1814"/>
          </w:tcPr>
          <w:p>
            <w:r>
              <w:rPr>
                <w:b/>
                <w:color w:val="1F4E79"/>
                <w:sz w:val="18"/>
              </w:rPr>
              <w:t>Línea Base V01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Incremento de Emergencia V03</w:t>
            </w:r>
          </w:p>
        </w:tc>
        <w:tc>
          <w:tcPr>
            <w:tcW w:type="dxa" w:w="1928"/>
          </w:tcPr>
          <w:p>
            <w:r>
              <w:rPr>
                <w:b/>
                <w:color w:val="1F4E79"/>
                <w:sz w:val="18"/>
              </w:rPr>
              <w:t>Total Optimizado V03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52185.0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313418.0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78.0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4944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1276.0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6220.0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34.0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155.0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color w:val="1F4E79"/>
          <w:sz w:val="21"/>
        </w:rPr>
        <w:t>RESERVAS 2027: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1F4E79"/>
                <w:sz w:val="18"/>
              </w:rPr>
              <w:t>Material/Equipo</w:t>
            </w:r>
          </w:p>
        </w:tc>
        <w:tc>
          <w:tcPr>
            <w:tcW w:type="dxa" w:w="1814"/>
          </w:tcPr>
          <w:p>
            <w:r>
              <w:rPr>
                <w:b/>
                <w:color w:val="1F4E79"/>
                <w:sz w:val="18"/>
              </w:rPr>
              <w:t>Línea Base V01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Incremento de Emergencia V03</w:t>
            </w:r>
          </w:p>
        </w:tc>
        <w:tc>
          <w:tcPr>
            <w:tcW w:type="dxa" w:w="1928"/>
          </w:tcPr>
          <w:p>
            <w:r>
              <w:rPr>
                <w:b/>
                <w:color w:val="1F4E79"/>
                <w:sz w:val="18"/>
              </w:rPr>
              <w:t>Total Optimizado V03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60580.0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321813.0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18201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5312.0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23513.0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38.0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159.0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color w:val="1F4E79"/>
          <w:sz w:val="21"/>
        </w:rPr>
        <w:t>RESERVAS 2028: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1F4E79"/>
                <w:sz w:val="18"/>
              </w:rPr>
              <w:t>Material/Equipo</w:t>
            </w:r>
          </w:p>
        </w:tc>
        <w:tc>
          <w:tcPr>
            <w:tcW w:type="dxa" w:w="1814"/>
          </w:tcPr>
          <w:p>
            <w:r>
              <w:rPr>
                <w:b/>
                <w:color w:val="1F4E79"/>
                <w:sz w:val="18"/>
              </w:rPr>
              <w:t>Línea Base V01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Incremento de Emergencia V03</w:t>
            </w:r>
          </w:p>
        </w:tc>
        <w:tc>
          <w:tcPr>
            <w:tcW w:type="dxa" w:w="1928"/>
          </w:tcPr>
          <w:p>
            <w:r>
              <w:rPr>
                <w:b/>
                <w:color w:val="1F4E79"/>
                <w:sz w:val="18"/>
              </w:rPr>
              <w:t>Total Optimizado V03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ALTA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261233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39593.0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300826.0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MEDIA ROTACIÓN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75.0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DISTRIBUCIÓN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11152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2315.0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13467.0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TRX POTENCIA S-E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149.0</w:t>
            </w:r>
          </w:p>
        </w:tc>
      </w:tr>
    </w:tbl>
    <w:p>
      <w:r>
        <w:rPr>
          <w:b w:val="0"/>
          <w:sz w:val="21"/>
        </w:rPr>
      </w:r>
    </w:p>
    <w:p>
      <w:pPr>
        <w:pStyle w:val="Heading1"/>
      </w:pPr>
      <w:r>
        <w:rPr>
          <w:color w:val="1F4E79"/>
        </w:rPr>
        <w:t>6. Justificación técnico-normativa por componente</w:t>
      </w:r>
    </w:p>
    <w:p>
      <w:r>
        <w:rPr>
          <w:b w:val="0"/>
          <w:sz w:val="21"/>
        </w:rPr>
        <w:t>•  ALTA ROTACIÓN (aisladores, pararrayos, fusibles) — IEEE 493 (λ) y guías CIGRE de resiliencia climática: el ENOS eleva tormentas eléctricas y, por el régimen seco, la contaminación depositada (polvo, salitre) sobre dieléctricos; la tasa de falla λ típica de descargadores/aisladores se dispara durante la fase cálida (medida interna: +22-30% de fallas TRX). Los incendios de vegetación en servidumbres funden fusibles/desconectadores en masa.</w:t>
      </w:r>
    </w:p>
    <w:p>
      <w:r>
        <w:rPr>
          <w:b w:val="0"/>
          <w:sz w:val="21"/>
        </w:rPr>
        <w:t>•  MEDIA ROTACIÓN (bobinas de apertura/cierre, transformadores de medida): más ciclos de operación y reconexión en la fase ENOS aceleran fatiga electromecánica de bobinas y envejecimiento térmico de TI/TP. Lead-time de importación típico 9 meses → SS con LT=9.</w:t>
      </w:r>
    </w:p>
    <w:p>
      <w:r>
        <w:rPr>
          <w:b w:val="0"/>
          <w:sz w:val="21"/>
        </w:rPr>
        <w:t>•  BAJA/ESTRATÉGICOS (transformadores distribución y potencia) — IEEE C57.91: la pérdida de vida útil del transformador es exp(15000/383 − 15000/(θ_H+273)); en la ola de calor ENOS la temperatura ambiente y la sobrecarga sostenida elevan el hot-spot θ_H y, con él, el factor de envejecimiento (F_AA del orden 2-4: un año de operación equivale a 2-4 años de vida). A ese ritmo, la tasa de reposición se adelanta: por eso los TRX llevan SS al 99% y LT de 18-24 meses.</w:t>
      </w:r>
    </w:p>
    <w:p>
      <w:r>
        <w:rPr>
          <w:b w:val="0"/>
          <w:sz w:val="21"/>
        </w:rPr>
        <w:t>•  Estratégicos S-E: transformadores de potencia 34,5/13,8 kV (10-20 MVA): son el cuello de botella (lead-time de fabricación/importación 24 meses). Reservar el 30% adicional en potencia evita indisponibilidad prolongada de subestaciones completas.</w:t>
      </w:r>
    </w:p>
    <w:p>
      <w:pPr>
        <w:pStyle w:val="Heading1"/>
      </w:pPr>
      <w:r>
        <w:rPr>
          <w:color w:val="1F4E79"/>
        </w:rPr>
        <w:t>7. Costo-beneficio: reserva de emergencia vs. capital inmovilizado</w:t>
      </w:r>
    </w:p>
    <w:p>
      <w:r>
        <w:rPr>
          <w:b w:val="0"/>
          <w:sz w:val="21"/>
        </w:rPr>
        <w:t>El costo de la reserva es el CAPITAL INMOVILIZADO: Incremento_V03(uds) × Precio(€) × 12% anual (costo de oportunidad WACC orientativo). La ENS que se evita se estima solo donde el modelo es riguroso (transformadores): sin reserva, un transformador crítico que falla queda sin reposición durante el lead-time de importación (≈180 días); con reserva local, la reposición toma ≈4 días. Cada unidad desplegada evita ≈ P(kW) × Δt(h) de ENS (escenario de despliegue 10% de la reserva).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Componente</w:t>
            </w:r>
          </w:p>
        </w:tc>
        <w:tc>
          <w:tcPr>
            <w:tcW w:type="dxa" w:w="850"/>
          </w:tcPr>
          <w:p>
            <w:r>
              <w:rPr>
                <w:b/>
                <w:color w:val="1F4E79"/>
                <w:sz w:val="18"/>
              </w:rPr>
              <w:t>AÑO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Capital inmovilizado (USD/año)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ENS evitada (USD, 10% desplegado)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Ratio ENS/Capital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TRX_DIST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3674880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36381312.0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TRX_DIST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15298560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151455744.0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TRX_DIST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6667200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66005280.0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TRX_POT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1440274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44064000.0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TRX_POT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1609718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49248000.0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TRX_POT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1186108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36288000.0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86337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100226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65504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694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793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545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 aplica</w:t>
            </w:r>
          </w:p>
        </w:tc>
      </w:tr>
    </w:tbl>
    <w:p>
      <w:r>
        <w:rPr>
          <w:b/>
          <w:sz w:val="21"/>
        </w:rPr>
        <w:t>Leído: TRX-DIST ratio ≈ 9,9x y TRX-POT ≈ 30,6x. En palabras sencillas: por cada dólar inmovilizado en reserva, el programa evita entre 10 y 30 dólares de energía no suministrada (con VoLL = 1,0 USD/kWh, referencia bibliográfica a validar con SAP). Al 10% de despliegue, ENS evitada estratégica 2026-2028 ≈ 383 MUSD frente a ≈ 30 MUSD inmovilizados en los 3 años.</w:t>
      </w:r>
    </w:p>
    <w:p>
      <w:r>
        <w:rPr>
          <w:b w:val="0"/>
          <w:sz w:val="21"/>
        </w:rPr>
        <w:t>•  TRX-DIST: P=0,075 MVA×0,9; Δt=4224 h (180-4 días) → 285 MWh/unidad desplegada; despliegue 10% = 531 uds (2027) → 151 MUSD vs capital 15,3 MUSD.</w:t>
      </w:r>
    </w:p>
    <w:p>
      <w:r>
        <w:rPr>
          <w:b w:val="0"/>
          <w:sz w:val="21"/>
        </w:rPr>
        <w:t>•  TRX-POT: P=9 MW; Δt=1440 h (60 días) → 12.960 MWh/unidad; despliegue 10% = 4 uds (2027) → 49 MUSD vs capital 1,6 MUSD.</w:t>
      </w:r>
    </w:p>
    <w:p>
      <w:r>
        <w:rPr>
          <w:b w:val="0"/>
          <w:sz w:val="21"/>
        </w:rPr>
        <w:t>•  ALTA/MEDIA: el beneficio es evitar falla sostenida y el premium de aprovisionamiento expedito en mercado estresado por éxito global (arresters/fusibles escasean en el mismo evento); ENS a cuantificar en el cierre con SAP (se deja cualitativo para no inflar el ratio).</w:t>
      </w:r>
    </w:p>
    <w:p>
      <w:pPr>
        <w:pStyle w:val="Heading1"/>
      </w:pPr>
      <w:r>
        <w:rPr>
          <w:color w:val="1F4E79"/>
        </w:rPr>
        <w:t>8. Límites y validación pendiente</w:t>
      </w:r>
    </w:p>
    <w:p>
      <w:r>
        <w:rPr>
          <w:b w:val="0"/>
          <w:sz w:val="21"/>
        </w:rPr>
        <w:t>•  Primera versión del FEC con solo 2 eventos medibles (2023, 2024); más El Niño en el registro (2015-16) no capturados por la base interna → se citan cualitativamente. Recomendación: alimentar el modelo con la CCT/SAP 2015-16 si se recupera.</w:t>
      </w:r>
    </w:p>
    <w:p>
      <w:r>
        <w:rPr>
          <w:b w:val="0"/>
          <w:sz w:val="21"/>
        </w:rPr>
        <w:t>•  VoLL = 1,0 USD/kWh es referencia bibliográfica internacional (rango 0,5-3); fijar el valor oficial con Comercialización/FONDELEC antes del cierre.</w:t>
      </w:r>
    </w:p>
    <w:p>
      <w:r>
        <w:rPr>
          <w:b w:val="0"/>
          <w:sz w:val="21"/>
        </w:rPr>
        <w:t>•  Precios TRX-DIST maestro (24.000 €/ud) es un supuesto documentado: el catálogo interno muestra distribuciones de 17.500-46.000 € según kVA; calibrar con la tabla de precios PMR real.</w:t>
      </w:r>
    </w:p>
    <w:p>
      <w:r>
        <w:rPr>
          <w:b w:val="0"/>
          <w:sz w:val="21"/>
        </w:rPr>
        <w:t>•  Coberturas 0,40/0,50/0,25 son un esquema de planificación; revisar a la salida de cada boletín IRI/NOAA mensual (el evento podría decaer antes si el IOD no acompaña) para recalibrar la reserva 2028.</w:t>
      </w:r>
    </w:p>
    <w:p>
      <w:r>
        <w:rPr>
          <w:b w:val="0"/>
          <w:sz w:val="21"/>
        </w:rPr>
        <w:t>•  El FEC se aplica por igual a todas las familia — en el cierre se pueden derivar k específicos por tipo de equipo con CMMS.</w:t>
      </w:r>
    </w:p>
    <w:p>
      <w:r>
        <w:rPr>
          <w:b w:val="0"/>
          <w:sz w:val="21"/>
        </w:rPr>
        <w:t>•  Este DELTA es adicional y NO sustituye la base V01 ni el calendario V02: ambos permanecen intactos en el paquete.</w:t>
      </w:r>
    </w:p>
    <w:p>
      <w:pPr>
        <w:pStyle w:val="Heading1"/>
      </w:pPr>
      <w:r>
        <w:rPr>
          <w:color w:val="1F4E79"/>
        </w:rPr>
        <w:t>9. Trazabilidad</w:t>
      </w:r>
    </w:p>
    <w:p>
      <w:r>
        <w:rPr>
          <w:b w:val="0"/>
          <w:sz w:val="21"/>
        </w:rPr>
        <w:t>Workbook: docs/NAC_2026_GGPD_INSTRUMENTO_LISTADO_MATERIALES_PLANES_V03.xlsx (11 pestañas). Intermedios: G_INTERMEDIOS_NORMALIZADOS/v03_*.csv. Scripts reproducibles: build_v03_workbook.py, build_doc_v03.py (en F_SCRIPTS_REPRODUCIBLES). Informe ejecutivo confidencial: /clasificados/INF_CORREA_2026_09_ENOS_V03_CONFIDENCIAL.docx. Documento metodológico: este archivo (MDL_V03). Referencia climática: NOAA CPC 10-09-2026 · IRI 21-09-2026 (capturados por webfetch).</w:t>
      </w:r>
    </w:p>
    <w:p>
      <w:r>
        <w:rPr>
          <w:b w:val="0"/>
          <w:color w:val="595959"/>
          <w:sz w:val="18"/>
        </w:rPr>
        <w:t>FIN · GGPD 2026 · Elaborado con asistencia de IA avanzada (Gemini Flash / Antigravity)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