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57E9" w14:textId="77777777" w:rsidR="00970AF7" w:rsidRPr="0032691E" w:rsidRDefault="00000000">
      <w:pPr>
        <w:spacing w:before="280" w:after="120"/>
        <w:rPr>
          <w:lang w:val="es-VE"/>
        </w:rPr>
      </w:pPr>
      <w:r w:rsidRPr="0032691E">
        <w:rPr>
          <w:rFonts w:ascii="Calibri" w:hAnsi="Calibri"/>
          <w:b/>
          <w:color w:val="003366"/>
          <w:sz w:val="40"/>
          <w:lang w:val="es-VE"/>
        </w:rPr>
        <w:t>REPÚBLICA BOLIVARIANA DE VENEZUELA</w:t>
      </w:r>
    </w:p>
    <w:p w14:paraId="4A55707E" w14:textId="77777777" w:rsidR="00970AF7" w:rsidRPr="0032691E" w:rsidRDefault="00000000">
      <w:pPr>
        <w:spacing w:before="280" w:after="120"/>
        <w:rPr>
          <w:lang w:val="es-VE"/>
        </w:rPr>
      </w:pPr>
      <w:r w:rsidRPr="0032691E">
        <w:rPr>
          <w:rFonts w:ascii="Calibri" w:hAnsi="Calibri"/>
          <w:b/>
          <w:color w:val="003366"/>
          <w:sz w:val="40"/>
          <w:lang w:val="es-VE"/>
        </w:rPr>
        <w:t>MINISTERIO DEL PODER POPULAR PARA LA ENERGÍA ELÉCTRICA (MPPEE)</w:t>
      </w:r>
    </w:p>
    <w:p w14:paraId="4AC96C5D" w14:textId="77777777" w:rsidR="00970AF7" w:rsidRPr="0032691E" w:rsidRDefault="00000000">
      <w:pPr>
        <w:spacing w:before="280" w:after="120"/>
        <w:rPr>
          <w:lang w:val="es-VE"/>
        </w:rPr>
      </w:pPr>
      <w:r w:rsidRPr="0032691E">
        <w:rPr>
          <w:rFonts w:ascii="Calibri" w:hAnsi="Calibri"/>
          <w:b/>
          <w:color w:val="003366"/>
          <w:sz w:val="40"/>
          <w:lang w:val="es-VE"/>
        </w:rPr>
        <w:t>CORPORACIÓN ELÉCTRICA NACIONAL, S.A. (CORPOELEC)</w:t>
      </w:r>
    </w:p>
    <w:p w14:paraId="2C4EF66A" w14:textId="77777777" w:rsidR="00970AF7" w:rsidRPr="0032691E" w:rsidRDefault="00000000">
      <w:pPr>
        <w:spacing w:before="240" w:after="80"/>
        <w:rPr>
          <w:lang w:val="es-VE"/>
        </w:rPr>
      </w:pPr>
      <w:r w:rsidRPr="0032691E">
        <w:rPr>
          <w:rFonts w:ascii="Calibri" w:hAnsi="Calibri"/>
          <w:b/>
          <w:color w:val="004488"/>
          <w:sz w:val="30"/>
          <w:lang w:val="es-VE"/>
        </w:rPr>
        <w:t>GERENCIA GENERAL DE PLANIFICACIÓN DE DISTRIBUCIÓN (GGPD)</w:t>
      </w:r>
    </w:p>
    <w:p w14:paraId="6C50170C" w14:textId="77777777" w:rsidR="00970AF7" w:rsidRDefault="00000000"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970AF7" w:rsidRPr="0032691E" w14:paraId="7579BEB6" w14:textId="77777777">
        <w:trPr>
          <w:jc w:val="center"/>
        </w:trPr>
        <w:tc>
          <w:tcPr>
            <w:tcW w:w="9360" w:type="dxa"/>
            <w:shd w:val="clear" w:color="auto" w:fill="F4F6F8"/>
          </w:tcPr>
          <w:p w14:paraId="57911FB1" w14:textId="77777777" w:rsidR="00970AF7" w:rsidRPr="0032691E" w:rsidRDefault="00000000">
            <w:pPr>
              <w:spacing w:before="80" w:after="80"/>
              <w:ind w:left="120"/>
              <w:rPr>
                <w:lang w:val="es-VE"/>
              </w:rPr>
            </w:pP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t>====================================================================================================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INSTRUCTIVO OPERATIVO ESTANDARIZADO DE NAVEGACIÓN, CONSULTA Y GESTIÓN DE ACTIVOS DEL SEN (SIGA-SEN v1.0)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====================================================================================================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CÓDIGO INSTITUCIONAL : GGPD-SGM-INS-008 (v1.0 ISO)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NOMENCLATURA ARCHIVO : NAC_2026_GGPD_INS_OPERATIVO_SIGA_SEN_V01.md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CÓDIGO DOCUMENTAL    : DOC-GGPD-2026-INS-SIGA-SEN-001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APLICACIÓN ASOCIADA  : SIGA-SEN v1.0 (Sistema Integrado de Gestión de Activos del SEN - Puerto 3008)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FUENTE DE DATOS CANÓN: Centro Nacional de Despacho (CND - Despacho Nacional, Mayo 2025)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BASE DE DATOS NATIVA : PostgreSQL 18 Local (cnd_sen_unifilar_2025)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AUTOR / ELABORACIÓN  : Equipo de Automatización, Analítica de Datos e Inteligencia Artificial (GGPD)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EN COLABORACIÓN CON  : Especialistas del Centro Nacional de Despacho (CND), Transmisión y Generación SEN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DIRIGIDO A           : Ingenieros de Despacho, Especialistas de Subestaciones, Planificadores y Personal Técnico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MARCO NORMATIVO      : ISO 55000/55001 (Activos) · ISO 8000-110 (Calidad de Datos) · ISO 9001:2015 (SGC)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 xml:space="preserve">                       ISO/IEC 27001:2022 (Seguridad) · ISACA COBIT 2019 · IEEE C37 · IEEE 1366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FECHA DE EMISIÓN     : Octubre de 2026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ESTADO DE APLICACIÓN : Vigente · Instrumento Técnico de Obligatorio Cumplimiento Nacional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====================================================================================================</w:t>
            </w:r>
          </w:p>
        </w:tc>
      </w:tr>
    </w:tbl>
    <w:p w14:paraId="5A963E28" w14:textId="77777777" w:rsidR="00970AF7" w:rsidRPr="0032691E" w:rsidRDefault="00970AF7">
      <w:pPr>
        <w:rPr>
          <w:lang w:val="es-VE"/>
        </w:rPr>
      </w:pPr>
    </w:p>
    <w:p w14:paraId="50DB700D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0F4670C7" w14:textId="77777777" w:rsidR="0032691E" w:rsidRPr="0032691E" w:rsidRDefault="0032691E">
      <w:pPr>
        <w:rPr>
          <w:rFonts w:ascii="Calibri" w:hAnsi="Calibri"/>
          <w:b/>
          <w:color w:val="004488"/>
          <w:sz w:val="30"/>
          <w:lang w:val="es-VE"/>
        </w:rPr>
      </w:pPr>
      <w:r w:rsidRPr="0032691E">
        <w:rPr>
          <w:rFonts w:ascii="Calibri" w:hAnsi="Calibri"/>
          <w:b/>
          <w:color w:val="004488"/>
          <w:sz w:val="30"/>
          <w:lang w:val="es-VE"/>
        </w:rPr>
        <w:br w:type="page"/>
      </w:r>
    </w:p>
    <w:p w14:paraId="0D6695AB" w14:textId="6D2A6A8C" w:rsidR="00970AF7" w:rsidRPr="0032691E" w:rsidRDefault="00000000">
      <w:pPr>
        <w:spacing w:before="240" w:after="80"/>
        <w:rPr>
          <w:lang w:val="es-VE"/>
        </w:rPr>
      </w:pPr>
      <w:r>
        <w:rPr>
          <w:rFonts w:ascii="Calibri" w:hAnsi="Calibri"/>
          <w:b/>
          <w:color w:val="004488"/>
          <w:sz w:val="30"/>
        </w:rPr>
        <w:lastRenderedPageBreak/>
        <w:t>📋</w:t>
      </w:r>
      <w:r w:rsidRPr="0032691E">
        <w:rPr>
          <w:rFonts w:ascii="Calibri" w:hAnsi="Calibri"/>
          <w:b/>
          <w:color w:val="004488"/>
          <w:sz w:val="30"/>
          <w:lang w:val="es-VE"/>
        </w:rPr>
        <w:t xml:space="preserve"> 1. IDENTIFICACIÓN Y CONTROL DEL DOCUMENTO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70AF7" w14:paraId="660B1E56" w14:textId="77777777">
        <w:trPr>
          <w:jc w:val="center"/>
        </w:trPr>
        <w:tc>
          <w:tcPr>
            <w:tcW w:w="4680" w:type="dxa"/>
            <w:shd w:val="clear" w:color="auto" w:fill="003366"/>
            <w:vAlign w:val="center"/>
          </w:tcPr>
          <w:p w14:paraId="338866A9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Parámetro Institucional</w:t>
            </w:r>
          </w:p>
        </w:tc>
        <w:tc>
          <w:tcPr>
            <w:tcW w:w="4680" w:type="dxa"/>
            <w:shd w:val="clear" w:color="auto" w:fill="003366"/>
            <w:vAlign w:val="center"/>
          </w:tcPr>
          <w:p w14:paraId="12D73B50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Especificación Técnica y Normativa</w:t>
            </w:r>
          </w:p>
        </w:tc>
      </w:tr>
      <w:tr w:rsidR="00970AF7" w:rsidRPr="0032691E" w14:paraId="4701A60D" w14:textId="77777777">
        <w:trPr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397C4DF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Organización Emisora: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06893FB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color w:val="334155"/>
                <w:sz w:val="19"/>
                <w:lang w:val="es-VE"/>
              </w:rPr>
              <w:t>Corporación Eléctrica Nacional, S.A. (CORPOELEC)</w:t>
            </w:r>
          </w:p>
        </w:tc>
      </w:tr>
      <w:tr w:rsidR="00970AF7" w:rsidRPr="0032691E" w14:paraId="5817216B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254C1E76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Órgano Rector / Adscripción: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74395FA5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color w:val="334155"/>
                <w:sz w:val="19"/>
                <w:lang w:val="es-VE"/>
              </w:rPr>
              <w:t>Ministerio del Poder Popular para la Energía Eléctrica (MPPEE)</w:t>
            </w:r>
          </w:p>
        </w:tc>
      </w:tr>
      <w:tr w:rsidR="00970AF7" w:rsidRPr="0032691E" w14:paraId="01DFD432" w14:textId="77777777">
        <w:trPr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0A69F60B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Gerencia Responsable: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E10B441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color w:val="334155"/>
                <w:sz w:val="19"/>
                <w:lang w:val="es-VE"/>
              </w:rPr>
              <w:t>Gerencia General de Planificación de Distribución (GGPD)</w:t>
            </w:r>
          </w:p>
        </w:tc>
      </w:tr>
      <w:tr w:rsidR="00970AF7" w:rsidRPr="0032691E" w14:paraId="4C67B19D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02DC2695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Título del Instrumento: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52C0E03F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b/>
                <w:color w:val="334155"/>
                <w:sz w:val="19"/>
                <w:lang w:val="es-VE"/>
              </w:rPr>
              <w:t>Instructivo Operativo Estandarizado para la Navegación Topológica, Monitoreo de Activos de Potencia y Consulta del Atlas Unifilar Nacional en el Sistema SIGA-SEN v1.0</w:t>
            </w:r>
          </w:p>
        </w:tc>
      </w:tr>
      <w:tr w:rsidR="00970AF7" w:rsidRPr="0032691E" w14:paraId="736DBB04" w14:textId="77777777">
        <w:trPr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4115B957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Naturaleza del Documento: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9740842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b/>
                <w:color w:val="334155"/>
                <w:sz w:val="19"/>
                <w:lang w:val="es-VE"/>
              </w:rPr>
              <w:t>Instructivo Técnico Operativo (ITO) / Procedimiento Operativo Estandarizado (POE). Conforme a las directrices de la GGPD y la Cláusula 7.5 de la norma ISO 9001:2015 (Control de la Información Documentada), este documento reviste carácter de mandato técnico vinculante. Se excluye taxativamente la figura de "Manual" debido a la suspensión operativa temporal de la Unidad Central de Registro y Codificación de Manuales de la Corporación, garantizando validez jurídica interna inmediata sin incurrir en vicios de procedimiento corporativo.</w:t>
            </w:r>
          </w:p>
        </w:tc>
      </w:tr>
      <w:tr w:rsidR="00970AF7" w:rsidRPr="0032691E" w14:paraId="3A0C1DB8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53AC9026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Código Nomenclatura Oficial: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1E22D9D9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color w:val="334155"/>
                <w:sz w:val="19"/>
                <w:lang w:val="es-VE"/>
              </w:rPr>
              <w:t>`NAC_2026_GGPD_INS_OPERATIVO_SIGA_SEN_V01` (Base de Codificación: `GGPD-SGM-INS-008 v1.0 ISO`)</w:t>
            </w:r>
          </w:p>
        </w:tc>
      </w:tr>
      <w:tr w:rsidR="00970AF7" w14:paraId="6134D28C" w14:textId="77777777">
        <w:trPr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7DDCE50C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Fecha de Aprobación: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E4BE8F5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07 de Octubre de 2026</w:t>
            </w:r>
          </w:p>
        </w:tc>
      </w:tr>
      <w:tr w:rsidR="00970AF7" w14:paraId="4A9BE6C9" w14:textId="77777777">
        <w:trPr>
          <w:jc w:val="center"/>
        </w:trPr>
        <w:tc>
          <w:tcPr>
            <w:tcW w:w="4680" w:type="dxa"/>
            <w:shd w:val="clear" w:color="auto" w:fill="F8FAFC"/>
            <w:vAlign w:val="center"/>
          </w:tcPr>
          <w:p w14:paraId="427E3301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Próxima Revisión Ordinaria:</w:t>
            </w:r>
          </w:p>
        </w:tc>
        <w:tc>
          <w:tcPr>
            <w:tcW w:w="4680" w:type="dxa"/>
            <w:shd w:val="clear" w:color="auto" w:fill="F8FAFC"/>
            <w:vAlign w:val="center"/>
          </w:tcPr>
          <w:p w14:paraId="7E7787A6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07 de Octubre de 2027</w:t>
            </w:r>
          </w:p>
        </w:tc>
      </w:tr>
      <w:tr w:rsidR="00970AF7" w:rsidRPr="0032691E" w14:paraId="7F94A85D" w14:textId="77777777">
        <w:trPr>
          <w:jc w:val="center"/>
        </w:trPr>
        <w:tc>
          <w:tcPr>
            <w:tcW w:w="4680" w:type="dxa"/>
            <w:shd w:val="clear" w:color="auto" w:fill="FFFFFF"/>
            <w:vAlign w:val="center"/>
          </w:tcPr>
          <w:p w14:paraId="59F1940B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Aprobado y Autorizado por: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3C960D6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color w:val="334155"/>
                <w:sz w:val="19"/>
                <w:lang w:val="es-VE"/>
              </w:rPr>
              <w:t>Gerencia General de Planificación de Distribución (GGPD)</w:t>
            </w:r>
          </w:p>
        </w:tc>
      </w:tr>
    </w:tbl>
    <w:p w14:paraId="050BE196" w14:textId="77777777" w:rsidR="00970AF7" w:rsidRPr="0032691E" w:rsidRDefault="00970AF7">
      <w:pPr>
        <w:rPr>
          <w:lang w:val="es-VE"/>
        </w:rPr>
      </w:pPr>
    </w:p>
    <w:p w14:paraId="33D9FD40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4CD55E36" w14:textId="77777777" w:rsidR="00970AF7" w:rsidRPr="0032691E" w:rsidRDefault="00000000">
      <w:pPr>
        <w:spacing w:before="240" w:after="80"/>
        <w:rPr>
          <w:lang w:val="es-VE"/>
        </w:rPr>
      </w:pPr>
      <w:r>
        <w:rPr>
          <w:rFonts w:ascii="Calibri" w:hAnsi="Calibri"/>
          <w:b/>
          <w:color w:val="004488"/>
          <w:sz w:val="30"/>
        </w:rPr>
        <w:t>🎯</w:t>
      </w:r>
      <w:r w:rsidRPr="0032691E">
        <w:rPr>
          <w:rFonts w:ascii="Calibri" w:hAnsi="Calibri"/>
          <w:b/>
          <w:color w:val="004488"/>
          <w:sz w:val="30"/>
          <w:lang w:val="es-VE"/>
        </w:rPr>
        <w:t xml:space="preserve"> 2. OBJETIVO (PROPÓSITO)</w:t>
      </w:r>
    </w:p>
    <w:p w14:paraId="308C0EEA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El presente instructivo establece las pautas técnicas, criterios de ingeniería eléctrica de potencia, directrices pedagógicas y mecanismos de consulta estandarizada bajo normas </w:t>
      </w:r>
      <w:r w:rsidRPr="0032691E">
        <w:rPr>
          <w:rFonts w:ascii="Calibri" w:hAnsi="Calibri"/>
          <w:b/>
          <w:color w:val="1E293B"/>
          <w:lang w:val="es-VE"/>
        </w:rPr>
        <w:t>ISO 55000/55001</w:t>
      </w:r>
      <w:r w:rsidRPr="0032691E">
        <w:rPr>
          <w:rFonts w:ascii="Calibri" w:hAnsi="Calibri"/>
          <w:color w:val="1E293B"/>
          <w:lang w:val="es-VE"/>
        </w:rPr>
        <w:t xml:space="preserve"> e </w:t>
      </w:r>
      <w:r w:rsidRPr="0032691E">
        <w:rPr>
          <w:rFonts w:ascii="Calibri" w:hAnsi="Calibri"/>
          <w:b/>
          <w:color w:val="1E293B"/>
          <w:lang w:val="es-VE"/>
        </w:rPr>
        <w:t>ISO 8000-110</w:t>
      </w:r>
      <w:r w:rsidRPr="0032691E">
        <w:rPr>
          <w:rFonts w:ascii="Calibri" w:hAnsi="Calibri"/>
          <w:color w:val="1E293B"/>
          <w:lang w:val="es-VE"/>
        </w:rPr>
        <w:t xml:space="preserve"> para la navegación, auditoría y análisis de activos de generación, transmisión troncal y subestaciones en el </w:t>
      </w:r>
      <w:r w:rsidRPr="0032691E">
        <w:rPr>
          <w:rFonts w:ascii="Calibri" w:hAnsi="Calibri"/>
          <w:b/>
          <w:color w:val="1E293B"/>
          <w:lang w:val="es-VE"/>
        </w:rPr>
        <w:t>Sistema Integrado de Gestión de Activos del SEN (SIGA-SEN v1.0)</w:t>
      </w:r>
      <w:r w:rsidRPr="0032691E">
        <w:rPr>
          <w:rFonts w:ascii="Calibri" w:hAnsi="Calibri"/>
          <w:color w:val="1E293B"/>
          <w:lang w:val="es-VE"/>
        </w:rPr>
        <w:t>.</w:t>
      </w:r>
    </w:p>
    <w:p w14:paraId="082503EC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El propósito central es dotar a CORPOELEC y al Centro Nacional de Despacho (CND) de una </w:t>
      </w:r>
      <w:r w:rsidRPr="0032691E">
        <w:rPr>
          <w:rFonts w:ascii="Calibri" w:hAnsi="Calibri"/>
          <w:b/>
          <w:color w:val="1E293B"/>
          <w:lang w:val="es-VE"/>
        </w:rPr>
        <w:t>fuente única de verdad (Single Source of Truth)</w:t>
      </w:r>
      <w:r w:rsidRPr="0032691E">
        <w:rPr>
          <w:rFonts w:ascii="Calibri" w:hAnsi="Calibri"/>
          <w:color w:val="1E293B"/>
          <w:lang w:val="es-VE"/>
        </w:rPr>
        <w:t xml:space="preserve"> sobre los </w:t>
      </w:r>
      <w:r w:rsidRPr="0032691E">
        <w:rPr>
          <w:rFonts w:ascii="Calibri" w:hAnsi="Calibri"/>
          <w:b/>
          <w:color w:val="1E293B"/>
          <w:lang w:val="es-VE"/>
        </w:rPr>
        <w:t>562 nodos de subestación</w:t>
      </w:r>
      <w:r w:rsidRPr="0032691E">
        <w:rPr>
          <w:rFonts w:ascii="Calibri" w:hAnsi="Calibri"/>
          <w:color w:val="1E293B"/>
          <w:lang w:val="es-VE"/>
        </w:rPr>
        <w:t xml:space="preserve">, </w:t>
      </w:r>
      <w:r w:rsidRPr="0032691E">
        <w:rPr>
          <w:rFonts w:ascii="Calibri" w:hAnsi="Calibri"/>
          <w:b/>
          <w:color w:val="1E293B"/>
          <w:lang w:val="es-VE"/>
        </w:rPr>
        <w:t>649 barras de patio</w:t>
      </w:r>
      <w:r w:rsidRPr="0032691E">
        <w:rPr>
          <w:rFonts w:ascii="Calibri" w:hAnsi="Calibri"/>
          <w:color w:val="1E293B"/>
          <w:lang w:val="es-VE"/>
        </w:rPr>
        <w:t xml:space="preserve">, </w:t>
      </w:r>
      <w:r w:rsidRPr="0032691E">
        <w:rPr>
          <w:rFonts w:ascii="Calibri" w:hAnsi="Calibri"/>
          <w:b/>
          <w:color w:val="1E293B"/>
          <w:lang w:val="es-VE"/>
        </w:rPr>
        <w:t>2.506 tramos de líneas de interconexión</w:t>
      </w:r>
      <w:r w:rsidRPr="0032691E">
        <w:rPr>
          <w:rFonts w:ascii="Calibri" w:hAnsi="Calibri"/>
          <w:color w:val="1E293B"/>
          <w:lang w:val="es-VE"/>
        </w:rPr>
        <w:t xml:space="preserve">, </w:t>
      </w:r>
      <w:r w:rsidRPr="0032691E">
        <w:rPr>
          <w:rFonts w:ascii="Calibri" w:hAnsi="Calibri"/>
          <w:b/>
          <w:color w:val="1E293B"/>
          <w:lang w:val="es-VE"/>
        </w:rPr>
        <w:t>29.433,2 MW de capacidad turbomotriz instalada</w:t>
      </w:r>
      <w:r w:rsidRPr="0032691E">
        <w:rPr>
          <w:rFonts w:ascii="Calibri" w:hAnsi="Calibri"/>
          <w:color w:val="1E293B"/>
          <w:lang w:val="es-VE"/>
        </w:rPr>
        <w:t xml:space="preserve">, </w:t>
      </w:r>
      <w:r w:rsidRPr="0032691E">
        <w:rPr>
          <w:rFonts w:ascii="Calibri" w:hAnsi="Calibri"/>
          <w:b/>
          <w:color w:val="1E293B"/>
          <w:lang w:val="es-VE"/>
        </w:rPr>
        <w:t>54.872,0 MVA de transformación</w:t>
      </w:r>
      <w:r w:rsidRPr="0032691E">
        <w:rPr>
          <w:rFonts w:ascii="Calibri" w:hAnsi="Calibri"/>
          <w:color w:val="1E293B"/>
          <w:lang w:val="es-VE"/>
        </w:rPr>
        <w:t xml:space="preserve"> y </w:t>
      </w:r>
      <w:r w:rsidRPr="0032691E">
        <w:rPr>
          <w:rFonts w:ascii="Calibri" w:hAnsi="Calibri"/>
          <w:b/>
          <w:color w:val="1E293B"/>
          <w:lang w:val="es-VE"/>
        </w:rPr>
        <w:t>7.830,5 MVAr de compensación reactiva</w:t>
      </w:r>
      <w:r w:rsidRPr="0032691E">
        <w:rPr>
          <w:rFonts w:ascii="Calibri" w:hAnsi="Calibri"/>
          <w:color w:val="1E293B"/>
          <w:lang w:val="es-VE"/>
        </w:rPr>
        <w:t xml:space="preserve"> que estructuran el Sistema Eléctrico Nacional (SEN), erradicando la dispersión de planos no sincronizados y posibilitando la exploración </w:t>
      </w:r>
      <w:r w:rsidRPr="0032691E">
        <w:rPr>
          <w:rFonts w:ascii="Calibri" w:hAnsi="Calibri"/>
          <w:color w:val="1E293B"/>
          <w:lang w:val="es-VE"/>
        </w:rPr>
        <w:lastRenderedPageBreak/>
        <w:t xml:space="preserve">interactiva continua del </w:t>
      </w:r>
      <w:r w:rsidRPr="0032691E">
        <w:rPr>
          <w:rFonts w:ascii="Calibri" w:hAnsi="Calibri"/>
          <w:b/>
          <w:color w:val="1E293B"/>
          <w:lang w:val="es-VE"/>
        </w:rPr>
        <w:t>Atlas Unifilar Nacional CND</w:t>
      </w:r>
      <w:r w:rsidRPr="0032691E">
        <w:rPr>
          <w:rFonts w:ascii="Calibri" w:hAnsi="Calibri"/>
          <w:color w:val="1E293B"/>
          <w:lang w:val="es-VE"/>
        </w:rPr>
        <w:t xml:space="preserve"> mediante motores vectoriales de alta precisión con tipografía adaptativa y doble modo cromático (Lienzo Blanco Técnico Oficial vs. SCADA Oscuro).</w:t>
      </w:r>
    </w:p>
    <w:p w14:paraId="0F143134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14B061C6" w14:textId="77777777" w:rsidR="00970AF7" w:rsidRPr="0032691E" w:rsidRDefault="00000000">
      <w:pPr>
        <w:spacing w:before="240" w:after="80"/>
        <w:rPr>
          <w:lang w:val="es-VE"/>
        </w:rPr>
      </w:pPr>
      <w:r>
        <w:rPr>
          <w:rFonts w:ascii="Calibri" w:hAnsi="Calibri"/>
          <w:b/>
          <w:color w:val="004488"/>
          <w:sz w:val="30"/>
        </w:rPr>
        <w:t>🌐</w:t>
      </w:r>
      <w:r w:rsidRPr="0032691E">
        <w:rPr>
          <w:rFonts w:ascii="Calibri" w:hAnsi="Calibri"/>
          <w:b/>
          <w:color w:val="004488"/>
          <w:sz w:val="30"/>
          <w:lang w:val="es-VE"/>
        </w:rPr>
        <w:t xml:space="preserve"> 3. ALCANCE Y ÁMBITO DE APLICACIÓN</w:t>
      </w:r>
    </w:p>
    <w:p w14:paraId="4DA3A027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A quiénes aplica:</w:t>
      </w:r>
      <w:r w:rsidRPr="0032691E">
        <w:rPr>
          <w:rFonts w:ascii="Calibri" w:hAnsi="Calibri"/>
          <w:color w:val="1E293B"/>
          <w:lang w:val="es-VE"/>
        </w:rPr>
        <w:t xml:space="preserve"> De obligatorio acatamiento para el personal técnico, de ingeniería y de gestión adscrito a:</w:t>
      </w:r>
    </w:p>
    <w:p w14:paraId="1943CCFD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1. Ingenieros y Operadores del Centro Nacional de Despacho (CND) y Despachos Regionales de Carga (DRC).</w:t>
      </w:r>
    </w:p>
    <w:p w14:paraId="591BD110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2. Especialistas de Operaciones y Mantenimiento de Transmisión y Generación (Hidroeléctrica, Térmica y Distribuida).</w:t>
      </w:r>
    </w:p>
    <w:p w14:paraId="1B3033C6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3. Coordinadores y Planificadores de la Gerencia General de Planificación de Distribución (GGPD).</w:t>
      </w:r>
    </w:p>
    <w:p w14:paraId="233EE80E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4. Analistas de Salas Situacionales Estadales y Técnicos de Planificación de Redes de Potencia.</w:t>
      </w:r>
    </w:p>
    <w:p w14:paraId="3F59329C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Dónde aplica:</w:t>
      </w:r>
      <w:r w:rsidRPr="0032691E">
        <w:rPr>
          <w:rFonts w:ascii="Calibri" w:hAnsi="Calibri"/>
          <w:color w:val="1E293B"/>
          <w:lang w:val="es-VE"/>
        </w:rPr>
        <w:t xml:space="preserve"> En todas las sesiones y consultas realizadas sobre el sistema </w:t>
      </w:r>
      <w:r w:rsidRPr="0032691E">
        <w:rPr>
          <w:rFonts w:ascii="Calibri" w:hAnsi="Calibri"/>
          <w:b/>
          <w:color w:val="1E293B"/>
          <w:lang w:val="es-VE"/>
        </w:rPr>
        <w:t>SIGA-SEN v1.0</w:t>
      </w:r>
      <w:r w:rsidRPr="0032691E">
        <w:rPr>
          <w:rFonts w:ascii="Calibri" w:hAnsi="Calibri"/>
          <w:color w:val="1E293B"/>
          <w:lang w:val="es-VE"/>
        </w:rPr>
        <w:t xml:space="preserve"> (puerto corporativo `3008`, accesible de modo local o a través de la infraestructura cloud autorizada), así como en los procesos de sincronización con la base de datos PostgreSQL local (`cnd_sen_unifilar_2025`).</w:t>
      </w:r>
    </w:p>
    <w:p w14:paraId="5BF75620" w14:textId="77777777" w:rsidR="00970AF7" w:rsidRDefault="00000000">
      <w:pPr>
        <w:pStyle w:val="Listaconvietas"/>
        <w:spacing w:before="40" w:after="40"/>
      </w:pPr>
      <w:r>
        <w:rPr>
          <w:rFonts w:ascii="Calibri" w:hAnsi="Calibri"/>
          <w:b/>
          <w:color w:val="1E293B"/>
        </w:rPr>
        <w:t>Qué procesos abarca:</w:t>
      </w:r>
    </w:p>
    <w:p w14:paraId="3AAFE018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Exploración, filtrado y diagnóstico de las 562 subestaciones del SEN según cuadrantes murales y niveles de tensión (765 kV a 69 kV).</w:t>
      </w:r>
    </w:p>
    <w:p w14:paraId="0834C3BA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Auditoría del inventario de unidades turbomotoras en las 31 principales centrales hidroeléctricas y complejos termoeléctricos del país.</w:t>
      </w:r>
    </w:p>
    <w:p w14:paraId="6B45633A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Evaluación del Balance Nacional de Potencia Activa (MW), Capacidad de Transformación (MVA) y Potencia Reactiva (MVAr) por zonas operativas.</w:t>
      </w:r>
    </w:p>
    <w:p w14:paraId="5FFC8BCC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Navegación vectorial dinámica (Pan &amp; Zoom, enfoque automático por clic y retícula radar focal HUD) sobre el plano mural unifilar oficial CND de 2.0m x 1.1m (5.669 x 3.146 pt).</w:t>
      </w:r>
    </w:p>
    <w:p w14:paraId="768C0851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Conmutación al vuelo entre el </w:t>
      </w:r>
      <w:r w:rsidRPr="0032691E">
        <w:rPr>
          <w:rFonts w:ascii="Calibri" w:hAnsi="Calibri"/>
          <w:b/>
          <w:color w:val="1E293B"/>
          <w:lang w:val="es-VE"/>
        </w:rPr>
        <w:t>Lienzo Blanco Oficial CND</w:t>
      </w:r>
      <w:r w:rsidRPr="0032691E">
        <w:rPr>
          <w:rFonts w:ascii="Calibri" w:hAnsi="Calibri"/>
          <w:color w:val="1E293B"/>
          <w:lang w:val="es-VE"/>
        </w:rPr>
        <w:t xml:space="preserve"> (máximo contraste 21:1 en líneas negras 69 kV y azules 115 kV) y el </w:t>
      </w:r>
      <w:r w:rsidRPr="0032691E">
        <w:rPr>
          <w:rFonts w:ascii="Calibri" w:hAnsi="Calibri"/>
          <w:b/>
          <w:color w:val="1E293B"/>
          <w:lang w:val="es-VE"/>
        </w:rPr>
        <w:t>Modo SCADA Oscuro</w:t>
      </w:r>
      <w:r w:rsidRPr="0032691E">
        <w:rPr>
          <w:rFonts w:ascii="Calibri" w:hAnsi="Calibri"/>
          <w:color w:val="1E293B"/>
          <w:lang w:val="es-VE"/>
        </w:rPr>
        <w:t xml:space="preserve"> (plata titanio y celeste eléctrico).</w:t>
      </w:r>
    </w:p>
    <w:p w14:paraId="75280B40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1C4491F6" w14:textId="77777777" w:rsidR="00970AF7" w:rsidRPr="0032691E" w:rsidRDefault="00000000">
      <w:pPr>
        <w:spacing w:before="240" w:after="80"/>
        <w:rPr>
          <w:lang w:val="es-VE"/>
        </w:rPr>
      </w:pPr>
      <w:r w:rsidRPr="0032691E">
        <w:rPr>
          <w:rFonts w:ascii="Calibri" w:hAnsi="Calibri"/>
          <w:b/>
          <w:color w:val="004488"/>
          <w:sz w:val="30"/>
          <w:lang w:val="es-VE"/>
        </w:rPr>
        <w:t>⚖</w:t>
      </w:r>
      <w:r>
        <w:rPr>
          <w:rFonts w:ascii="Calibri" w:hAnsi="Calibri"/>
          <w:b/>
          <w:color w:val="004488"/>
          <w:sz w:val="30"/>
        </w:rPr>
        <w:t>️</w:t>
      </w:r>
      <w:r w:rsidRPr="0032691E">
        <w:rPr>
          <w:rFonts w:ascii="Calibri" w:hAnsi="Calibri"/>
          <w:b/>
          <w:color w:val="004488"/>
          <w:sz w:val="30"/>
          <w:lang w:val="es-VE"/>
        </w:rPr>
        <w:t xml:space="preserve"> 4. MARCO NORMATIVO Y REFERENCIAS TÉCNICAS</w:t>
      </w:r>
    </w:p>
    <w:p w14:paraId="0DA039A6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El presente instructivo se encuentra estrictamente armonizado con los siguientes estándares internacionales y normativas institucionales del SEN:</w:t>
      </w:r>
    </w:p>
    <w:p w14:paraId="56D06062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1. </w:t>
      </w:r>
      <w:r w:rsidRPr="0032691E">
        <w:rPr>
          <w:rFonts w:ascii="Calibri" w:hAnsi="Calibri"/>
          <w:b/>
          <w:color w:val="1E293B"/>
          <w:lang w:val="es-VE"/>
        </w:rPr>
        <w:t>Plano Oficial Unifilar Nacional CND (Mayo 2025):</w:t>
      </w:r>
      <w:r w:rsidRPr="0032691E">
        <w:rPr>
          <w:rFonts w:ascii="Calibri" w:hAnsi="Calibri"/>
          <w:color w:val="1E293B"/>
          <w:lang w:val="es-VE"/>
        </w:rPr>
        <w:t xml:space="preserve"> Documento oficial emitido por la Dirección Técnica del Centro Nacional de Despacho (`SEN_2025_MayoUNIFILARNACIONAL.pdf`), elaborado por el Ing. Marco Ferreira, revisado por el Ing. Ulises Bellorín y aprobado por el Ing. Darwin Briceño.</w:t>
      </w:r>
    </w:p>
    <w:p w14:paraId="130E6998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2. </w:t>
      </w:r>
      <w:r w:rsidRPr="0032691E">
        <w:rPr>
          <w:rFonts w:ascii="Calibri" w:hAnsi="Calibri"/>
          <w:b/>
          <w:color w:val="1E293B"/>
          <w:lang w:val="es-VE"/>
        </w:rPr>
        <w:t>ISO 55000 / ISO 55001:2014 (Gestión de Activos Físicos):</w:t>
      </w:r>
      <w:r w:rsidRPr="0032691E">
        <w:rPr>
          <w:rFonts w:ascii="Calibri" w:hAnsi="Calibri"/>
          <w:color w:val="1E293B"/>
          <w:lang w:val="es-VE"/>
        </w:rPr>
        <w:t xml:space="preserve"> Trazabilidad del ciclo de vida, jerarquía de criticidad de activos de potencia y gestión de capacidad de transformación y generación.</w:t>
      </w:r>
    </w:p>
    <w:p w14:paraId="2AF5A577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lastRenderedPageBreak/>
        <w:t xml:space="preserve">3. </w:t>
      </w:r>
      <w:r w:rsidRPr="0032691E">
        <w:rPr>
          <w:rFonts w:ascii="Calibri" w:hAnsi="Calibri"/>
          <w:b/>
          <w:color w:val="1E293B"/>
          <w:lang w:val="es-VE"/>
        </w:rPr>
        <w:t>ISO 8000-110 / ISO 8000-115 (Calidad de Datos Maestros):</w:t>
      </w:r>
      <w:r w:rsidRPr="0032691E">
        <w:rPr>
          <w:rFonts w:ascii="Calibri" w:hAnsi="Calibri"/>
          <w:color w:val="1E293B"/>
          <w:lang w:val="es-VE"/>
        </w:rPr>
        <w:t xml:space="preserve"> Rigor sintáctico, exactitud de unidades de medida (MW, MVA, MVAr, kV) y eliminación de registros ficticios o empíricos.</w:t>
      </w:r>
    </w:p>
    <w:p w14:paraId="2CD99761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4. </w:t>
      </w:r>
      <w:r w:rsidRPr="0032691E">
        <w:rPr>
          <w:rFonts w:ascii="Calibri" w:hAnsi="Calibri"/>
          <w:b/>
          <w:color w:val="1E293B"/>
          <w:lang w:val="es-VE"/>
        </w:rPr>
        <w:t>ISO 9001:2015 (SGC - Cláusula 7.5):</w:t>
      </w:r>
      <w:r w:rsidRPr="0032691E">
        <w:rPr>
          <w:rFonts w:ascii="Calibri" w:hAnsi="Calibri"/>
          <w:color w:val="1E293B"/>
          <w:lang w:val="es-VE"/>
        </w:rPr>
        <w:t xml:space="preserve"> Soporte técnico-administrativo para la emisión y vigencia de Instructivos de Trabajo como información documentada formal.</w:t>
      </w:r>
    </w:p>
    <w:p w14:paraId="32913337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5. </w:t>
      </w:r>
      <w:r w:rsidRPr="0032691E">
        <w:rPr>
          <w:rFonts w:ascii="Calibri" w:hAnsi="Calibri"/>
          <w:b/>
          <w:color w:val="1E293B"/>
          <w:lang w:val="es-VE"/>
        </w:rPr>
        <w:t>ISO/IEC 27001:2022 (Seguridad de la Información):</w:t>
      </w:r>
      <w:r w:rsidRPr="0032691E">
        <w:rPr>
          <w:rFonts w:ascii="Calibri" w:hAnsi="Calibri"/>
          <w:color w:val="1E293B"/>
          <w:lang w:val="es-VE"/>
        </w:rPr>
        <w:t xml:space="preserve"> Autenticación perimetral RBAC, confidencialidad de la topología estratégica nacional y trazabilidad de eventos.</w:t>
      </w:r>
    </w:p>
    <w:p w14:paraId="076689B2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6. </w:t>
      </w:r>
      <w:r w:rsidRPr="0032691E">
        <w:rPr>
          <w:rFonts w:ascii="Calibri" w:hAnsi="Calibri"/>
          <w:b/>
          <w:color w:val="1E293B"/>
          <w:lang w:val="es-VE"/>
        </w:rPr>
        <w:t>ISACA COBIT 2019 (MEA02 / DSS06):</w:t>
      </w:r>
      <w:r w:rsidRPr="0032691E">
        <w:rPr>
          <w:rFonts w:ascii="Calibri" w:hAnsi="Calibri"/>
          <w:color w:val="1E293B"/>
          <w:lang w:val="es-VE"/>
        </w:rPr>
        <w:t xml:space="preserve"> Supervisión de controles internos de tecnologías operativas (OT) y gobernanza de software de infraestructura crítica.</w:t>
      </w:r>
    </w:p>
    <w:p w14:paraId="03BD146F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7. </w:t>
      </w:r>
      <w:r w:rsidRPr="0032691E">
        <w:rPr>
          <w:rFonts w:ascii="Calibri" w:hAnsi="Calibri"/>
          <w:b/>
          <w:color w:val="1E293B"/>
          <w:lang w:val="es-VE"/>
        </w:rPr>
        <w:t>IEEE C37 / IEEE 1366 / IEEE 80:</w:t>
      </w:r>
      <w:r w:rsidRPr="0032691E">
        <w:rPr>
          <w:rFonts w:ascii="Calibri" w:hAnsi="Calibri"/>
          <w:color w:val="1E293B"/>
          <w:lang w:val="es-VE"/>
        </w:rPr>
        <w:t xml:space="preserve"> Normas internacionales para conmutación de potencia, índices de continuidad de servicio y coordinación de aislamiento en subestaciones.</w:t>
      </w:r>
    </w:p>
    <w:p w14:paraId="07C5A498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44480C86" w14:textId="77777777" w:rsidR="00970AF7" w:rsidRPr="0032691E" w:rsidRDefault="00000000">
      <w:pPr>
        <w:spacing w:before="240" w:after="80"/>
        <w:rPr>
          <w:lang w:val="es-VE"/>
        </w:rPr>
      </w:pPr>
      <w:r>
        <w:rPr>
          <w:rFonts w:ascii="Calibri" w:hAnsi="Calibri"/>
          <w:b/>
          <w:color w:val="004488"/>
          <w:sz w:val="30"/>
        </w:rPr>
        <w:t>📖</w:t>
      </w:r>
      <w:r w:rsidRPr="0032691E">
        <w:rPr>
          <w:rFonts w:ascii="Calibri" w:hAnsi="Calibri"/>
          <w:b/>
          <w:color w:val="004488"/>
          <w:sz w:val="30"/>
          <w:lang w:val="es-VE"/>
        </w:rPr>
        <w:t xml:space="preserve"> 5. GLOSARIO DE TÉRMINOS Y DEFINICIONES</w:t>
      </w:r>
    </w:p>
    <w:p w14:paraId="1B153817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SEN (Sistema Eléctrico Nacional):</w:t>
      </w:r>
      <w:r w:rsidRPr="0032691E">
        <w:rPr>
          <w:rFonts w:ascii="Calibri" w:hAnsi="Calibri"/>
          <w:color w:val="1E293B"/>
          <w:lang w:val="es-VE"/>
        </w:rPr>
        <w:t xml:space="preserve"> Conjunto interconectado de instalaciones de generación, transmisión, transformación, compensación reactiva y distribución que suministran energía eléctrica a la República Bolivariana de Venezuela.</w:t>
      </w:r>
    </w:p>
    <w:p w14:paraId="181581CE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CND (Centro Nacional de Despacho):</w:t>
      </w:r>
      <w:r w:rsidRPr="0032691E">
        <w:rPr>
          <w:rFonts w:ascii="Calibri" w:hAnsi="Calibri"/>
          <w:color w:val="1E293B"/>
          <w:lang w:val="es-VE"/>
        </w:rPr>
        <w:t xml:space="preserve"> Entidad técnica rectora encargada de la supervisión, coordinación, control y despacho en tiempo real de la generación y la red troncal de transmisión del SEN.</w:t>
      </w:r>
    </w:p>
    <w:p w14:paraId="0C217F33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Extra Alta Tensión (EAT - 765 kV / 400 kV):</w:t>
      </w:r>
      <w:r w:rsidRPr="0032691E">
        <w:rPr>
          <w:rFonts w:ascii="Calibri" w:hAnsi="Calibri"/>
          <w:color w:val="1E293B"/>
          <w:lang w:val="es-VE"/>
        </w:rPr>
        <w:t xml:space="preserve"> Red troncal de transporte masivo que evacúa la energía generada en el bajo Caroní (Guri, Caruachi, Macagua) hacia los grandes centros de consumo del Centro, Occidente y Oriente del país.</w:t>
      </w:r>
    </w:p>
    <w:p w14:paraId="7C198650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Alta Tensión (AT - 230 kV / 138 kV / 115 kV):</w:t>
      </w:r>
      <w:r w:rsidRPr="0032691E">
        <w:rPr>
          <w:rFonts w:ascii="Calibri" w:hAnsi="Calibri"/>
          <w:color w:val="1E293B"/>
          <w:lang w:val="es-VE"/>
        </w:rPr>
        <w:t xml:space="preserve"> Red de transmisión regional y de interconexión entre subestaciones de maniobra y patios de entrega a distribución.</w:t>
      </w:r>
    </w:p>
    <w:p w14:paraId="7A42B381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Subtransmisión Secundaria (69 kV):</w:t>
      </w:r>
      <w:r w:rsidRPr="0032691E">
        <w:rPr>
          <w:rFonts w:ascii="Calibri" w:hAnsi="Calibri"/>
          <w:color w:val="1E293B"/>
          <w:lang w:val="es-VE"/>
        </w:rPr>
        <w:t xml:space="preserve"> Red secundaria de subtransmisión y entrega a distribución metropolitana y zonal (ej. anillo metropolitano de Caracas).</w:t>
      </w:r>
    </w:p>
    <w:p w14:paraId="6BED5339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Turbina / Unidad Turbomotriz (~):</w:t>
      </w:r>
      <w:r w:rsidRPr="0032691E">
        <w:rPr>
          <w:rFonts w:ascii="Calibri" w:hAnsi="Calibri"/>
          <w:color w:val="1E293B"/>
          <w:lang w:val="es-VE"/>
        </w:rPr>
        <w:t xml:space="preserve"> Conjunto de turbina (hidráulica Francis/Kaplan o térmica de vapor/gas) acoplada a un generador sincrónico para la conversión de energía primaria en energía eléctrica.</w:t>
      </w:r>
    </w:p>
    <w:p w14:paraId="0A9E9930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Banco de Transformación (TR):</w:t>
      </w:r>
      <w:r w:rsidRPr="0032691E">
        <w:rPr>
          <w:rFonts w:ascii="Calibri" w:hAnsi="Calibri"/>
          <w:color w:val="1E293B"/>
          <w:lang w:val="es-VE"/>
        </w:rPr>
        <w:t xml:space="preserve"> Conjunto de transformadores monofásicos o transformador trifásico de gran potencia que eleva o reduce niveles de tensión en patios de subestación.</w:t>
      </w:r>
    </w:p>
    <w:p w14:paraId="01677413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Compensación Reactiva (MVAr):</w:t>
      </w:r>
      <w:r w:rsidRPr="0032691E">
        <w:rPr>
          <w:rFonts w:ascii="Calibri" w:hAnsi="Calibri"/>
          <w:color w:val="1E293B"/>
          <w:lang w:val="es-VE"/>
        </w:rPr>
        <w:t xml:space="preserve"> Bancos de condensadores o reactores en derivación utilizados para la regulación de perfil de tensión y control de estabilidad de voltaje en barras troncales.</w:t>
      </w:r>
    </w:p>
    <w:p w14:paraId="78DCA1C4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ViewBox Dinámico SVG:</w:t>
      </w:r>
      <w:r w:rsidRPr="0032691E">
        <w:rPr>
          <w:rFonts w:ascii="Calibri" w:hAnsi="Calibri"/>
          <w:color w:val="1E293B"/>
          <w:lang w:val="es-VE"/>
        </w:rPr>
        <w:t xml:space="preserve"> Sistema de coordenadas vectoriales matemáticas nativas de resolución infinita que gobierna la cámara de visualización, permitiendo encuadres milimétricos y zooms de detalle sin pixelación.</w:t>
      </w:r>
    </w:p>
    <w:p w14:paraId="4336C421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Retícula Radar Focal HUD:</w:t>
      </w:r>
      <w:r w:rsidRPr="0032691E">
        <w:rPr>
          <w:rFonts w:ascii="Calibri" w:hAnsi="Calibri"/>
          <w:color w:val="1E293B"/>
          <w:lang w:val="es-VE"/>
        </w:rPr>
        <w:t xml:space="preserve"> Elemento gráfico cibernético compuesto por anillos concéntricos y miras de cuadrante que enfoca e ilumina de forma pulsante el activo seleccionado por el operador.</w:t>
      </w:r>
    </w:p>
    <w:p w14:paraId="270F08F8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06D7E9EA" w14:textId="77777777" w:rsidR="00970AF7" w:rsidRPr="0032691E" w:rsidRDefault="00000000">
      <w:pPr>
        <w:spacing w:before="240" w:after="80"/>
        <w:rPr>
          <w:lang w:val="es-VE"/>
        </w:rPr>
      </w:pPr>
      <w:r w:rsidRPr="0032691E">
        <w:rPr>
          <w:rFonts w:ascii="Calibri" w:hAnsi="Calibri"/>
          <w:b/>
          <w:color w:val="004488"/>
          <w:sz w:val="30"/>
          <w:lang w:val="es-VE"/>
        </w:rPr>
        <w:lastRenderedPageBreak/>
        <w:t>⚡ 6. DESCRIPCIÓN OPERATIVA DEL SISTEMA POR MÓDULOS</w:t>
      </w:r>
    </w:p>
    <w:p w14:paraId="243564FD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A continuación se detalla el funcionamiento de cada módulo de </w:t>
      </w:r>
      <w:r w:rsidRPr="0032691E">
        <w:rPr>
          <w:rFonts w:ascii="Calibri" w:hAnsi="Calibri"/>
          <w:b/>
          <w:color w:val="1E293B"/>
          <w:lang w:val="es-VE"/>
        </w:rPr>
        <w:t>SIGA-SEN v1.0</w:t>
      </w:r>
      <w:r w:rsidRPr="0032691E">
        <w:rPr>
          <w:rFonts w:ascii="Calibri" w:hAnsi="Calibri"/>
          <w:color w:val="1E293B"/>
          <w:lang w:val="es-VE"/>
        </w:rPr>
        <w:t>. Para asegurar la asimilación integral en todos los niveles operativos, cada sección incluye:</w:t>
      </w:r>
    </w:p>
    <w:p w14:paraId="2F70137B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1. </w:t>
      </w:r>
      <w:r w:rsidRPr="0032691E">
        <w:rPr>
          <w:rFonts w:ascii="Calibri" w:hAnsi="Calibri"/>
          <w:b/>
          <w:color w:val="1E293B"/>
          <w:lang w:val="es-VE"/>
        </w:rPr>
        <w:t>Especificación Técnica de Ingeniería de Potencia:</w:t>
      </w:r>
      <w:r w:rsidRPr="0032691E">
        <w:rPr>
          <w:rFonts w:ascii="Calibri" w:hAnsi="Calibri"/>
          <w:color w:val="1E293B"/>
          <w:lang w:val="es-VE"/>
        </w:rPr>
        <w:t xml:space="preserve"> Para ingenieros especialistas, despachadores del CND y jefes de planta.</w:t>
      </w:r>
    </w:p>
    <w:p w14:paraId="79A819CA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2. </w:t>
      </w:r>
      <w:r w:rsidRPr="0032691E">
        <w:rPr>
          <w:rFonts w:ascii="Calibri" w:hAnsi="Calibri"/>
          <w:b/>
          <w:color w:val="1E293B"/>
          <w:lang w:val="es-VE"/>
        </w:rPr>
        <w:t>Explicación Pedagógica Funcional:</w:t>
      </w:r>
      <w:r w:rsidRPr="0032691E">
        <w:rPr>
          <w:rFonts w:ascii="Calibri" w:hAnsi="Calibri"/>
          <w:color w:val="1E293B"/>
          <w:lang w:val="es-VE"/>
        </w:rPr>
        <w:t xml:space="preserve"> Para analistas de operaciones y coordinadores de sala situacional.</w:t>
      </w:r>
    </w:p>
    <w:p w14:paraId="40F25EDB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3. </w:t>
      </w:r>
      <w:r w:rsidRPr="0032691E">
        <w:rPr>
          <w:rFonts w:ascii="Calibri" w:hAnsi="Calibri"/>
          <w:b/>
          <w:color w:val="1E293B"/>
          <w:lang w:val="es-VE"/>
        </w:rPr>
        <w:t>Guía Práctica de Uso y Consulta:</w:t>
      </w:r>
      <w:r w:rsidRPr="0032691E">
        <w:rPr>
          <w:rFonts w:ascii="Calibri" w:hAnsi="Calibri"/>
          <w:color w:val="1E293B"/>
          <w:lang w:val="es-VE"/>
        </w:rPr>
        <w:t xml:space="preserve"> Para el personal técnico y de relevo operativo.</w:t>
      </w:r>
    </w:p>
    <w:p w14:paraId="2D2DD6CB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5295FE6A" w14:textId="77777777" w:rsidR="00970AF7" w:rsidRPr="0032691E" w:rsidRDefault="00000000">
      <w:pPr>
        <w:spacing w:before="200" w:after="60"/>
        <w:rPr>
          <w:lang w:val="es-VE"/>
        </w:rPr>
      </w:pPr>
      <w:r w:rsidRPr="0032691E">
        <w:rPr>
          <w:rFonts w:ascii="Calibri" w:hAnsi="Calibri"/>
          <w:b/>
          <w:color w:val="1E293B"/>
          <w:sz w:val="25"/>
          <w:lang w:val="es-VE"/>
        </w:rPr>
        <w:t>MÓDULO 1: ACCESO Y ZONA SEGURA DE GRADO INDUSTRIAL SEN (PUERTO 3008)</w:t>
      </w:r>
    </w:p>
    <w:p w14:paraId="5F4E0C16" w14:textId="77777777" w:rsidR="00970AF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C6135C5" wp14:editId="5858983D">
            <wp:extent cx="566928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a_sen_01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9131" w14:textId="77777777" w:rsidR="00970AF7" w:rsidRPr="0032691E" w:rsidRDefault="00000000">
      <w:pPr>
        <w:spacing w:before="40" w:after="160"/>
        <w:jc w:val="center"/>
        <w:rPr>
          <w:lang w:val="es-VE"/>
        </w:rPr>
      </w:pPr>
      <w:r w:rsidRPr="0032691E">
        <w:rPr>
          <w:rFonts w:ascii="Calibri" w:hAnsi="Calibri"/>
          <w:i/>
          <w:color w:val="64748B"/>
          <w:sz w:val="18"/>
          <w:lang w:val="es-VE"/>
        </w:rPr>
        <w:t>Figura: Pantalla de Autenticación ZONA SEGURA SIGA-SEN (Puerto 3008)</w:t>
      </w:r>
    </w:p>
    <w:p w14:paraId="3EF8DF8A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🔬</w:t>
      </w:r>
      <w:r w:rsidRPr="0032691E">
        <w:rPr>
          <w:rFonts w:ascii="Calibri" w:hAnsi="Calibri"/>
          <w:b/>
          <w:color w:val="334155"/>
          <w:lang w:val="es-VE"/>
        </w:rPr>
        <w:t xml:space="preserve"> 1.1. Para el Ingeniero Especialista en Potencia y Despacho:</w:t>
      </w:r>
    </w:p>
    <w:p w14:paraId="6CA489B2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El módulo de autenticación implementa un perímetro blindado bajo </w:t>
      </w:r>
      <w:r w:rsidRPr="0032691E">
        <w:rPr>
          <w:rFonts w:ascii="Calibri" w:hAnsi="Calibri"/>
          <w:b/>
          <w:color w:val="1E293B"/>
          <w:lang w:val="es-VE"/>
        </w:rPr>
        <w:t>ISO/IEC 27001:2022</w:t>
      </w:r>
      <w:r w:rsidRPr="0032691E">
        <w:rPr>
          <w:rFonts w:ascii="Calibri" w:hAnsi="Calibri"/>
          <w:color w:val="1E293B"/>
          <w:lang w:val="es-VE"/>
        </w:rPr>
        <w:t xml:space="preserve"> y </w:t>
      </w:r>
      <w:r w:rsidRPr="0032691E">
        <w:rPr>
          <w:rFonts w:ascii="Calibri" w:hAnsi="Calibri"/>
          <w:b/>
          <w:color w:val="1E293B"/>
          <w:lang w:val="es-VE"/>
        </w:rPr>
        <w:t>OWASP ASVS Level 2</w:t>
      </w:r>
      <w:r w:rsidRPr="0032691E">
        <w:rPr>
          <w:rFonts w:ascii="Calibri" w:hAnsi="Calibri"/>
          <w:color w:val="1E293B"/>
          <w:lang w:val="es-VE"/>
        </w:rPr>
        <w:t>. Toda la infraestructura se ejecuta en el puerto corporativo estandarizado `3008`, enlazado con la base de datos relacional local en PostgreSQL 18 (`cnd_sen_unifilar_2025`). El sistema autentica roles diferenciados (`ADMIN_NACIONAL`, `CND_NACIONAL`, `ESPECIALISTA_TRANSMISION`, `PLANIFICADOR_GGPD`), asignando privilegios de consulta topológica, exportación de esquemas y auditoría de potencia.</w:t>
      </w:r>
    </w:p>
    <w:p w14:paraId="7F436653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💡</w:t>
      </w:r>
      <w:r w:rsidRPr="0032691E">
        <w:rPr>
          <w:rFonts w:ascii="Calibri" w:hAnsi="Calibri"/>
          <w:b/>
          <w:color w:val="334155"/>
          <w:lang w:val="es-VE"/>
        </w:rPr>
        <w:t xml:space="preserve"> 1.2. Explicación Coloquial y Pedagógica:</w:t>
      </w:r>
    </w:p>
    <w:p w14:paraId="57B9774F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lastRenderedPageBreak/>
        <w:t>¿Qué es esta pantalla?</w:t>
      </w:r>
      <w:r w:rsidRPr="0032691E">
        <w:rPr>
          <w:rFonts w:ascii="Calibri" w:hAnsi="Calibri"/>
          <w:color w:val="1E293B"/>
          <w:lang w:val="es-VE"/>
        </w:rPr>
        <w:t xml:space="preserve"> Es la aduana de seguridad para entrar al sistema que controla y muestra todos los activos eléctricos de Venezuela.</w:t>
      </w:r>
    </w:p>
    <w:p w14:paraId="012306F7" w14:textId="77777777" w:rsidR="00970AF7" w:rsidRDefault="00000000">
      <w:pPr>
        <w:pStyle w:val="Listaconvietas"/>
        <w:spacing w:before="40" w:after="40"/>
      </w:pPr>
      <w:r>
        <w:rPr>
          <w:rFonts w:ascii="Calibri" w:hAnsi="Calibri"/>
          <w:b/>
          <w:color w:val="1E293B"/>
        </w:rPr>
        <w:t>¿Cómo se usa?</w:t>
      </w:r>
    </w:p>
    <w:p w14:paraId="37CEEF79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1. En la casilla de usuario coloca tu cuenta institucional (por ejemplo: `fullstack001` o `admin.sen`).</w:t>
      </w:r>
    </w:p>
    <w:p w14:paraId="18C5C236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2. En la casilla de contraseña coloca tu clave corporativa.</w:t>
      </w:r>
    </w:p>
    <w:p w14:paraId="75B85AF8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3. Puedes presionar el botón de inicio de sesión rápida para ingresar de inmediato con el perfil autorizado.</w:t>
      </w:r>
    </w:p>
    <w:p w14:paraId="3C86D5A1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🛠️</w:t>
      </w:r>
      <w:r w:rsidRPr="0032691E">
        <w:rPr>
          <w:rFonts w:ascii="Calibri" w:hAnsi="Calibri"/>
          <w:b/>
          <w:color w:val="334155"/>
          <w:lang w:val="es-VE"/>
        </w:rPr>
        <w:t xml:space="preserve"> 1.3. Guía Práctica de Uso para Personal Técnico:</w:t>
      </w:r>
    </w:p>
    <w:p w14:paraId="1BBE4CF2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&gt; </w:t>
      </w:r>
      <w:r w:rsidRPr="0032691E">
        <w:rPr>
          <w:rFonts w:ascii="Calibri" w:hAnsi="Calibri"/>
          <w:b/>
          <w:color w:val="1E293B"/>
          <w:lang w:val="es-VE"/>
        </w:rPr>
        <w:t>Punto clave:</w:t>
      </w:r>
      <w:r w:rsidRPr="0032691E">
        <w:rPr>
          <w:rFonts w:ascii="Calibri" w:hAnsi="Calibri"/>
          <w:color w:val="1E293B"/>
          <w:lang w:val="es-VE"/>
        </w:rPr>
        <w:t xml:space="preserve"> SIGA-SEN opera de manera independiente en el puerto `3008`, garantizando que las consultas de alta carga del unifilar nacional no compitan con los sistemas de distribución de SIGAD (puerto `3007`). Verifica siempre en la esquina superior derecha que la conexión indique `POSTGRESQL LOCAL: cnd_sen_unifilar_2025 · ONLINE`.</w:t>
      </w:r>
    </w:p>
    <w:p w14:paraId="6E9A9004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3A93DAD2" w14:textId="77777777" w:rsidR="00970AF7" w:rsidRPr="0032691E" w:rsidRDefault="00000000">
      <w:pPr>
        <w:spacing w:before="200" w:after="60"/>
        <w:rPr>
          <w:lang w:val="es-VE"/>
        </w:rPr>
      </w:pPr>
      <w:r w:rsidRPr="0032691E">
        <w:rPr>
          <w:rFonts w:ascii="Calibri" w:hAnsi="Calibri"/>
          <w:b/>
          <w:color w:val="1E293B"/>
          <w:sz w:val="25"/>
          <w:lang w:val="es-VE"/>
        </w:rPr>
        <w:t>MÓDULO 2: EXPLORADOR DE NODOS Y PATIOS DE TRANSMISIÓN DEL SEN</w:t>
      </w:r>
    </w:p>
    <w:p w14:paraId="553E7D62" w14:textId="77777777" w:rsidR="00970AF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9D5358C" wp14:editId="63743072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a_sen_02_nodos_pati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034C" w14:textId="77777777" w:rsidR="00970AF7" w:rsidRPr="0032691E" w:rsidRDefault="00000000">
      <w:pPr>
        <w:spacing w:before="40" w:after="160"/>
        <w:jc w:val="center"/>
        <w:rPr>
          <w:lang w:val="es-VE"/>
        </w:rPr>
      </w:pPr>
      <w:r w:rsidRPr="0032691E">
        <w:rPr>
          <w:rFonts w:ascii="Calibri" w:hAnsi="Calibri"/>
          <w:i/>
          <w:color w:val="64748B"/>
          <w:sz w:val="18"/>
          <w:lang w:val="es-VE"/>
        </w:rPr>
        <w:t>Figura: Explorador de Nodos y Patios de Subestación del SEN</w:t>
      </w:r>
    </w:p>
    <w:p w14:paraId="60546D9F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🔬</w:t>
      </w:r>
      <w:r w:rsidRPr="0032691E">
        <w:rPr>
          <w:rFonts w:ascii="Calibri" w:hAnsi="Calibri"/>
          <w:b/>
          <w:color w:val="334155"/>
          <w:lang w:val="es-VE"/>
        </w:rPr>
        <w:t xml:space="preserve"> 2.1. Para el Ingeniero Especialista en Potencia y Despacho:</w:t>
      </w:r>
    </w:p>
    <w:p w14:paraId="21FE65FF" w14:textId="77777777" w:rsidR="00970AF7" w:rsidRDefault="00000000">
      <w:pPr>
        <w:spacing w:before="60" w:after="80"/>
      </w:pPr>
      <w:r w:rsidRPr="0032691E">
        <w:rPr>
          <w:rFonts w:ascii="Calibri" w:hAnsi="Calibri"/>
          <w:color w:val="1E293B"/>
          <w:lang w:val="es-VE"/>
        </w:rPr>
        <w:t xml:space="preserve">Este módulo cataloga exhaustivamente las </w:t>
      </w:r>
      <w:r w:rsidRPr="0032691E">
        <w:rPr>
          <w:rFonts w:ascii="Calibri" w:hAnsi="Calibri"/>
          <w:b/>
          <w:color w:val="1E293B"/>
          <w:lang w:val="es-VE"/>
        </w:rPr>
        <w:t>562 subestaciones</w:t>
      </w:r>
      <w:r w:rsidRPr="0032691E">
        <w:rPr>
          <w:rFonts w:ascii="Calibri" w:hAnsi="Calibri"/>
          <w:color w:val="1E293B"/>
          <w:lang w:val="es-VE"/>
        </w:rPr>
        <w:t xml:space="preserve"> del SEN consolidadas en `cnd_subestaciones`. </w:t>
      </w:r>
      <w:r>
        <w:rPr>
          <w:rFonts w:ascii="Calibri" w:hAnsi="Calibri"/>
          <w:color w:val="1E293B"/>
        </w:rPr>
        <w:t>Permite discriminar la infraestructura por:</w:t>
      </w:r>
    </w:p>
    <w:p w14:paraId="379BBD6E" w14:textId="77777777" w:rsidR="00970AF7" w:rsidRDefault="00000000">
      <w:pPr>
        <w:pStyle w:val="Listaconvietas"/>
        <w:spacing w:before="40" w:after="40"/>
      </w:pPr>
      <w:r w:rsidRPr="0032691E">
        <w:rPr>
          <w:rFonts w:ascii="Calibri" w:hAnsi="Calibri"/>
          <w:b/>
          <w:color w:val="1E293B"/>
          <w:lang w:val="es-VE"/>
        </w:rPr>
        <w:lastRenderedPageBreak/>
        <w:t>Macro-Proceso:</w:t>
      </w:r>
      <w:r w:rsidRPr="0032691E">
        <w:rPr>
          <w:rFonts w:ascii="Calibri" w:hAnsi="Calibri"/>
          <w:color w:val="1E293B"/>
          <w:lang w:val="es-VE"/>
        </w:rPr>
        <w:t xml:space="preserve"> *Centrales de Generación* (31 nodos con unidades turbomotrices) vs. </w:t>
      </w:r>
      <w:r>
        <w:rPr>
          <w:rFonts w:ascii="Calibri" w:hAnsi="Calibri"/>
          <w:color w:val="1E293B"/>
        </w:rPr>
        <w:t>*Subestaciones de Transmisión/Maniobra* (531 nodos).</w:t>
      </w:r>
    </w:p>
    <w:p w14:paraId="6CBEFDF9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Cuadrantes Geográficos CND:</w:t>
      </w:r>
      <w:r w:rsidRPr="0032691E">
        <w:rPr>
          <w:rFonts w:ascii="Calibri" w:hAnsi="Calibri"/>
          <w:color w:val="1E293B"/>
          <w:lang w:val="es-VE"/>
        </w:rPr>
        <w:t xml:space="preserve"> *Guayana / Sur*, *Centro*, *Occidente*, *Oriente*, *Andes* y *Zulia*.</w:t>
      </w:r>
    </w:p>
    <w:p w14:paraId="76223190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Nivel de Tensión de Barra:</w:t>
      </w:r>
      <w:r w:rsidRPr="0032691E">
        <w:rPr>
          <w:rFonts w:ascii="Calibri" w:hAnsi="Calibri"/>
          <w:color w:val="1E293B"/>
          <w:lang w:val="es-VE"/>
        </w:rPr>
        <w:t xml:space="preserve"> Filtros determinísticos para barras de 765 kV, 400 kV, 230 kV, 138 kV, 115 kV y 69 kV.</w:t>
      </w:r>
    </w:p>
    <w:p w14:paraId="18D4681C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La pantalla presenta una división simétrica: a la izquierda, la lista paginada y filtrada de nodos; a la derecha, la </w:t>
      </w:r>
      <w:r w:rsidRPr="0032691E">
        <w:rPr>
          <w:rFonts w:ascii="Calibri" w:hAnsi="Calibri"/>
          <w:b/>
          <w:color w:val="1E293B"/>
          <w:lang w:val="es-VE"/>
        </w:rPr>
        <w:t>Ficha Técnica de Patio</w:t>
      </w:r>
      <w:r w:rsidRPr="0032691E">
        <w:rPr>
          <w:rFonts w:ascii="Calibri" w:hAnsi="Calibri"/>
          <w:color w:val="1E293B"/>
          <w:lang w:val="es-VE"/>
        </w:rPr>
        <w:t xml:space="preserve"> con la potencia instalada en MVA, compensación reactiva en MVAr, tramos físicos de barraje, bancos de transformación asociados y capacidad unitaria.</w:t>
      </w:r>
    </w:p>
    <w:p w14:paraId="27AACB52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💡</w:t>
      </w:r>
      <w:r w:rsidRPr="0032691E">
        <w:rPr>
          <w:rFonts w:ascii="Calibri" w:hAnsi="Calibri"/>
          <w:b/>
          <w:color w:val="334155"/>
          <w:lang w:val="es-VE"/>
        </w:rPr>
        <w:t xml:space="preserve"> 2.2. Explicación Coloquial y Pedagógica:</w:t>
      </w:r>
    </w:p>
    <w:p w14:paraId="5E46D7C3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¿Qué hace este módulo?</w:t>
      </w:r>
      <w:r w:rsidRPr="0032691E">
        <w:rPr>
          <w:rFonts w:ascii="Calibri" w:hAnsi="Calibri"/>
          <w:color w:val="1E293B"/>
          <w:lang w:val="es-VE"/>
        </w:rPr>
        <w:t xml:space="preserve"> Es el directorio telefónico y la enciclopedia de todas las subestaciones eléctricas del país.</w:t>
      </w:r>
    </w:p>
    <w:p w14:paraId="5ED03EE9" w14:textId="77777777" w:rsidR="00970AF7" w:rsidRDefault="00000000">
      <w:pPr>
        <w:pStyle w:val="Listaconvietas"/>
        <w:spacing w:before="40" w:after="40"/>
      </w:pPr>
      <w:r>
        <w:rPr>
          <w:rFonts w:ascii="Calibri" w:hAnsi="Calibri"/>
          <w:b/>
          <w:color w:val="1E293B"/>
        </w:rPr>
        <w:t>¿Cómo se usa?</w:t>
      </w:r>
    </w:p>
    <w:p w14:paraId="760A6023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1. Puedes usar los selectores de arriba para filtrar: por ejemplo, ver solo las subestaciones de "Oriente" o solo las que tienen barras de "230 kV".</w:t>
      </w:r>
    </w:p>
    <w:p w14:paraId="07170359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2. También puedes escribir directamente el nombre de la subestación en la casilla de búsqueda (ej. `EL CONVENTO`, `CURUPAO`, `BARBACOA`).</w:t>
      </w:r>
    </w:p>
    <w:p w14:paraId="18E81EB6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3. Al tocar cualquier subestación en la lista izquierda, el panel derecho muestra de inmediato cuántas barras tiene, qué transformadores posee y cuánta potencia maneja.</w:t>
      </w:r>
    </w:p>
    <w:p w14:paraId="1BEEFA7F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🛠️</w:t>
      </w:r>
      <w:r w:rsidRPr="0032691E">
        <w:rPr>
          <w:rFonts w:ascii="Calibri" w:hAnsi="Calibri"/>
          <w:b/>
          <w:color w:val="334155"/>
          <w:lang w:val="es-VE"/>
        </w:rPr>
        <w:t xml:space="preserve"> 2.3. Guía Práctica de Uso para Personal Técnico:</w:t>
      </w:r>
    </w:p>
    <w:p w14:paraId="3A0C8D77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&gt; </w:t>
      </w:r>
      <w:r w:rsidRPr="0032691E">
        <w:rPr>
          <w:rFonts w:ascii="Calibri" w:hAnsi="Calibri"/>
          <w:b/>
          <w:color w:val="1E293B"/>
          <w:lang w:val="es-VE"/>
        </w:rPr>
        <w:t>Punto clave:</w:t>
      </w:r>
      <w:r w:rsidRPr="0032691E">
        <w:rPr>
          <w:rFonts w:ascii="Calibri" w:hAnsi="Calibri"/>
          <w:color w:val="1E293B"/>
          <w:lang w:val="es-VE"/>
        </w:rPr>
        <w:t xml:space="preserve"> En el panel derecho de la subestación se listan las barras con sus orientaciones físicas (Horiz/Vert) y longitud en puntos de diagrama. Las barras se identifican con su color normativo oficial, facilitando contrastar la información con los diagramas físicos de patio antes de emitir libranzas de mantenimiento.</w:t>
      </w:r>
    </w:p>
    <w:p w14:paraId="0E9BD1F8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0AD2D25E" w14:textId="77777777" w:rsidR="00970AF7" w:rsidRPr="0032691E" w:rsidRDefault="00000000">
      <w:pPr>
        <w:spacing w:before="200" w:after="60"/>
        <w:rPr>
          <w:lang w:val="es-VE"/>
        </w:rPr>
      </w:pPr>
      <w:r w:rsidRPr="0032691E">
        <w:rPr>
          <w:rFonts w:ascii="Calibri" w:hAnsi="Calibri"/>
          <w:b/>
          <w:color w:val="1E293B"/>
          <w:sz w:val="25"/>
          <w:lang w:val="es-VE"/>
        </w:rPr>
        <w:t>MÓDULO 3: CENTRALES DE GENERACIÓN HIDROELÉCTRICA Y TERMOELÉCTRICA</w:t>
      </w:r>
    </w:p>
    <w:p w14:paraId="54DD0743" w14:textId="77777777" w:rsidR="00970AF7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B737787" wp14:editId="17BD6863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a_sen_03_generac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6823" w14:textId="77777777" w:rsidR="00970AF7" w:rsidRPr="0032691E" w:rsidRDefault="00000000">
      <w:pPr>
        <w:spacing w:before="40" w:after="160"/>
        <w:jc w:val="center"/>
        <w:rPr>
          <w:lang w:val="es-VE"/>
        </w:rPr>
      </w:pPr>
      <w:r w:rsidRPr="0032691E">
        <w:rPr>
          <w:rFonts w:ascii="Calibri" w:hAnsi="Calibri"/>
          <w:i/>
          <w:color w:val="64748B"/>
          <w:sz w:val="18"/>
          <w:lang w:val="es-VE"/>
        </w:rPr>
        <w:t>Figura: Módulo de Centrales de Generación y Unidades Turbomotoras del SEN</w:t>
      </w:r>
    </w:p>
    <w:p w14:paraId="5FE3D58A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🔬</w:t>
      </w:r>
      <w:r w:rsidRPr="0032691E">
        <w:rPr>
          <w:rFonts w:ascii="Calibri" w:hAnsi="Calibri"/>
          <w:b/>
          <w:color w:val="334155"/>
          <w:lang w:val="es-VE"/>
        </w:rPr>
        <w:t xml:space="preserve"> 3.1. Para el Ingeniero Especialista en Potencia y Despacho:</w:t>
      </w:r>
    </w:p>
    <w:p w14:paraId="4283EC45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El módulo de Generación estructura los </w:t>
      </w:r>
      <w:r w:rsidRPr="0032691E">
        <w:rPr>
          <w:rFonts w:ascii="Calibri" w:hAnsi="Calibri"/>
          <w:b/>
          <w:color w:val="1E293B"/>
          <w:lang w:val="es-VE"/>
        </w:rPr>
        <w:t>29.433,2 MW</w:t>
      </w:r>
      <w:r w:rsidRPr="0032691E">
        <w:rPr>
          <w:rFonts w:ascii="Calibri" w:hAnsi="Calibri"/>
          <w:color w:val="1E293B"/>
          <w:lang w:val="es-VE"/>
        </w:rPr>
        <w:t xml:space="preserve"> de capacidad instalada en el SEN a partir de las 31 plantas motrices principales registradas en el CND. Cada central desglosa de forma unívoca sus bloques de máquinas:</w:t>
      </w:r>
    </w:p>
    <w:p w14:paraId="5A0BE470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Complejo Hidroeléctrico Simón Bolívar (Guri):</w:t>
      </w:r>
      <w:r w:rsidRPr="0032691E">
        <w:rPr>
          <w:rFonts w:ascii="Calibri" w:hAnsi="Calibri"/>
          <w:color w:val="1E293B"/>
          <w:lang w:val="es-VE"/>
        </w:rPr>
        <w:t xml:space="preserve"> Casa de Máquinas I (Guri A, 3.336 MW en 10 turbinas) y Casa de Máquinas II (Guri B, 7.480 MW en 7x760 MW + 3x720 MW), totalizando 10.816 MW sobre barras de 765 kV, 400 kV y 230 kV.</w:t>
      </w:r>
    </w:p>
    <w:p w14:paraId="15478092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Complejo Francisco de Miranda (Caruachi):</w:t>
      </w:r>
      <w:r w:rsidRPr="0032691E">
        <w:rPr>
          <w:rFonts w:ascii="Calibri" w:hAnsi="Calibri"/>
          <w:color w:val="1E293B"/>
          <w:lang w:val="es-VE"/>
        </w:rPr>
        <w:t xml:space="preserve"> 2.160 MW sobre 12 unidades Kaplan de 180 MW en 400 kV.</w:t>
      </w:r>
    </w:p>
    <w:p w14:paraId="731C1962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Complejo Antonio José de Sucre (Macagua):</w:t>
      </w:r>
      <w:r w:rsidRPr="0032691E">
        <w:rPr>
          <w:rFonts w:ascii="Calibri" w:hAnsi="Calibri"/>
          <w:color w:val="1E293B"/>
          <w:lang w:val="es-VE"/>
        </w:rPr>
        <w:t xml:space="preserve"> Macagua II (2.544 MW) y Macagua III (168 MW) evacuando a 400 kV y 115 kV.</w:t>
      </w:r>
    </w:p>
    <w:p w14:paraId="1806B539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Complejo Termoeléctrico Planta Centro:</w:t>
      </w:r>
      <w:r w:rsidRPr="0032691E">
        <w:rPr>
          <w:rFonts w:ascii="Calibri" w:hAnsi="Calibri"/>
          <w:color w:val="1E293B"/>
          <w:lang w:val="es-VE"/>
        </w:rPr>
        <w:t xml:space="preserve"> 1.400 MW en unidades de 1x600 MW y 2x400 MW acopladas a 400 kV y 230 kV.</w:t>
      </w:r>
    </w:p>
    <w:p w14:paraId="5462FF7B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Plantas Térmicas Regionales:</w:t>
      </w:r>
      <w:r w:rsidRPr="0032691E">
        <w:rPr>
          <w:rFonts w:ascii="Calibri" w:hAnsi="Calibri"/>
          <w:color w:val="1E293B"/>
          <w:lang w:val="es-VE"/>
        </w:rPr>
        <w:t xml:space="preserve"> Josefa Camejo (450 MW), Termobarrancas (160 MW), Tacoa/Barcazas (340 MW), Planta Picure (157 MW), Genevapca (300 MW), entre otras.</w:t>
      </w:r>
    </w:p>
    <w:p w14:paraId="74EFFF3A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El sistema totaliza en tiempo real las unidades físicas instaladas, potencia nominal unitaria y tensión de salida al sistema interconectado.</w:t>
      </w:r>
    </w:p>
    <w:p w14:paraId="361F4357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💡</w:t>
      </w:r>
      <w:r w:rsidRPr="0032691E">
        <w:rPr>
          <w:rFonts w:ascii="Calibri" w:hAnsi="Calibri"/>
          <w:b/>
          <w:color w:val="334155"/>
          <w:lang w:val="es-VE"/>
        </w:rPr>
        <w:t xml:space="preserve"> 3.2. Explicación Coloquial y Pedagógica:</w:t>
      </w:r>
    </w:p>
    <w:p w14:paraId="68673067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¿Qué encontramos aquí?</w:t>
      </w:r>
      <w:r w:rsidRPr="0032691E">
        <w:rPr>
          <w:rFonts w:ascii="Calibri" w:hAnsi="Calibri"/>
          <w:color w:val="1E293B"/>
          <w:lang w:val="es-VE"/>
        </w:rPr>
        <w:t xml:space="preserve"> Las fábricas de electricidad de Venezuela: todas las represas del río Caroní y las plantas termoeléctricas que queman gas o combustible.</w:t>
      </w:r>
    </w:p>
    <w:p w14:paraId="59B8CA6A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lastRenderedPageBreak/>
        <w:t>¿Qué información nos muestra?</w:t>
      </w:r>
      <w:r w:rsidRPr="0032691E">
        <w:rPr>
          <w:rFonts w:ascii="Calibri" w:hAnsi="Calibri"/>
          <w:color w:val="1E293B"/>
          <w:lang w:val="es-VE"/>
        </w:rPr>
        <w:t xml:space="preserve"> Te dice cuántas turbinas tiene cada central, cuántos Megavatios (MW) produce cada una y a qué nivel de voltaje se conecta para mandar la luz al país.</w:t>
      </w:r>
    </w:p>
    <w:p w14:paraId="213A2D09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🛠️</w:t>
      </w:r>
      <w:r w:rsidRPr="0032691E">
        <w:rPr>
          <w:rFonts w:ascii="Calibri" w:hAnsi="Calibri"/>
          <w:b/>
          <w:color w:val="334155"/>
          <w:lang w:val="es-VE"/>
        </w:rPr>
        <w:t xml:space="preserve"> 3.3. Guía Práctica de Uso para Personal Técnico:</w:t>
      </w:r>
    </w:p>
    <w:p w14:paraId="4FDE74A8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&gt; </w:t>
      </w:r>
      <w:r w:rsidRPr="0032691E">
        <w:rPr>
          <w:rFonts w:ascii="Calibri" w:hAnsi="Calibri"/>
          <w:b/>
          <w:color w:val="1E293B"/>
          <w:lang w:val="es-VE"/>
        </w:rPr>
        <w:t>Punto clave:</w:t>
      </w:r>
      <w:r w:rsidRPr="0032691E">
        <w:rPr>
          <w:rFonts w:ascii="Calibri" w:hAnsi="Calibri"/>
          <w:color w:val="1E293B"/>
          <w:lang w:val="es-VE"/>
        </w:rPr>
        <w:t xml:space="preserve"> La unidad fundamental en este módulo es el </w:t>
      </w:r>
      <w:r w:rsidRPr="0032691E">
        <w:rPr>
          <w:rFonts w:ascii="Calibri" w:hAnsi="Calibri"/>
          <w:b/>
          <w:color w:val="1E293B"/>
          <w:lang w:val="es-VE"/>
        </w:rPr>
        <w:t>MW (Megavatio)</w:t>
      </w:r>
      <w:r w:rsidRPr="0032691E">
        <w:rPr>
          <w:rFonts w:ascii="Calibri" w:hAnsi="Calibri"/>
          <w:color w:val="1E293B"/>
          <w:lang w:val="es-VE"/>
        </w:rPr>
        <w:t xml:space="preserve"> de potencia activa. No confundir la potencia activa de las turbinas (MW) con la capacidad de los transformadores elevadores de patio (expresada en MVA).</w:t>
      </w:r>
    </w:p>
    <w:p w14:paraId="242E2853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19CDC315" w14:textId="77777777" w:rsidR="00970AF7" w:rsidRPr="0032691E" w:rsidRDefault="00000000">
      <w:pPr>
        <w:spacing w:before="200" w:after="60"/>
        <w:rPr>
          <w:lang w:val="es-VE"/>
        </w:rPr>
      </w:pPr>
      <w:r w:rsidRPr="0032691E">
        <w:rPr>
          <w:rFonts w:ascii="Calibri" w:hAnsi="Calibri"/>
          <w:b/>
          <w:color w:val="1E293B"/>
          <w:sz w:val="25"/>
          <w:lang w:val="es-VE"/>
        </w:rPr>
        <w:t>MÓDULO 4: BALANCE NACIONAL SEN &amp; POTENCIA MVA/MVAr POR REGIONES</w:t>
      </w:r>
    </w:p>
    <w:p w14:paraId="05C1C8AF" w14:textId="77777777" w:rsidR="00970AF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85A58A2" wp14:editId="1D07214F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a_sen_04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A30F" w14:textId="77777777" w:rsidR="00970AF7" w:rsidRPr="0032691E" w:rsidRDefault="00000000">
      <w:pPr>
        <w:spacing w:before="40" w:after="160"/>
        <w:jc w:val="center"/>
        <w:rPr>
          <w:lang w:val="es-VE"/>
        </w:rPr>
      </w:pPr>
      <w:r w:rsidRPr="0032691E">
        <w:rPr>
          <w:rFonts w:ascii="Calibri" w:hAnsi="Calibri"/>
          <w:i/>
          <w:color w:val="64748B"/>
          <w:sz w:val="18"/>
          <w:lang w:val="es-VE"/>
        </w:rPr>
        <w:t>Figura: Dashboard Ejecutivo de Balance Nacional SEN</w:t>
      </w:r>
    </w:p>
    <w:p w14:paraId="0F486D37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🔬</w:t>
      </w:r>
      <w:r w:rsidRPr="0032691E">
        <w:rPr>
          <w:rFonts w:ascii="Calibri" w:hAnsi="Calibri"/>
          <w:b/>
          <w:color w:val="334155"/>
          <w:lang w:val="es-VE"/>
        </w:rPr>
        <w:t xml:space="preserve"> 4.1. Para el Ingeniero Especialista en Potencia y Despacho:</w:t>
      </w:r>
    </w:p>
    <w:p w14:paraId="689286B5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El módulo de Balance SEN actúa como un cuadro de mando macroscópico de infraestructura energética. Agrega matemáticamente tres magnitudes de estado:</w:t>
      </w:r>
    </w:p>
    <w:p w14:paraId="5846C2A4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1. </w:t>
      </w:r>
      <w:r w:rsidRPr="0032691E">
        <w:rPr>
          <w:rFonts w:ascii="Calibri" w:hAnsi="Calibri"/>
          <w:b/>
          <w:color w:val="1E293B"/>
          <w:lang w:val="es-VE"/>
        </w:rPr>
        <w:t>Generación Instalada Total:</w:t>
      </w:r>
      <w:r w:rsidRPr="0032691E">
        <w:rPr>
          <w:rFonts w:ascii="Calibri" w:hAnsi="Calibri"/>
          <w:color w:val="1E293B"/>
          <w:lang w:val="es-VE"/>
        </w:rPr>
        <w:t xml:space="preserve"> 29.433,2 MW repartidos en 94 unidades turbomotoras.</w:t>
      </w:r>
    </w:p>
    <w:p w14:paraId="2DA5F535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2. </w:t>
      </w:r>
      <w:r w:rsidRPr="0032691E">
        <w:rPr>
          <w:rFonts w:ascii="Calibri" w:hAnsi="Calibri"/>
          <w:b/>
          <w:color w:val="1E293B"/>
          <w:lang w:val="es-VE"/>
        </w:rPr>
        <w:t>Transformación Nacional:</w:t>
      </w:r>
      <w:r w:rsidRPr="0032691E">
        <w:rPr>
          <w:rFonts w:ascii="Calibri" w:hAnsi="Calibri"/>
          <w:color w:val="1E293B"/>
          <w:lang w:val="es-VE"/>
        </w:rPr>
        <w:t xml:space="preserve"> 54.872,0 MVA en 101 bancos de transformación de alta potencia.</w:t>
      </w:r>
    </w:p>
    <w:p w14:paraId="52BCADBF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3. </w:t>
      </w:r>
      <w:r w:rsidRPr="0032691E">
        <w:rPr>
          <w:rFonts w:ascii="Calibri" w:hAnsi="Calibri"/>
          <w:b/>
          <w:color w:val="1E293B"/>
          <w:lang w:val="es-VE"/>
        </w:rPr>
        <w:t>Compensación Reactiva:</w:t>
      </w:r>
      <w:r w:rsidRPr="0032691E">
        <w:rPr>
          <w:rFonts w:ascii="Calibri" w:hAnsi="Calibri"/>
          <w:color w:val="1E293B"/>
          <w:lang w:val="es-VE"/>
        </w:rPr>
        <w:t xml:space="preserve"> 7.830,5 MVAr en 90 bancos de inductores/condensadores.</w:t>
      </w:r>
    </w:p>
    <w:p w14:paraId="2B625AC5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Presenta además el desglose porcentual y absoluto por cuadrante del CND (*Guayana/Sur* concentra el 58.2% de la capacidad motriz, seguido por *Centro* con 18.4% y *Zulia/Occidente* con 15.6%), permitiendo a los planificadores de la GGPD identificar cuellos de botella de transferencia de potencia y requerimientos de soporte de tensión dinámica.</w:t>
      </w:r>
    </w:p>
    <w:p w14:paraId="7740FDFF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lastRenderedPageBreak/>
        <w:t>💡</w:t>
      </w:r>
      <w:r w:rsidRPr="0032691E">
        <w:rPr>
          <w:rFonts w:ascii="Calibri" w:hAnsi="Calibri"/>
          <w:b/>
          <w:color w:val="334155"/>
          <w:lang w:val="es-VE"/>
        </w:rPr>
        <w:t xml:space="preserve"> 4.2. Explicación Coloquial y Pedagógica:</w:t>
      </w:r>
    </w:p>
    <w:p w14:paraId="135D15F4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¿Para qué sirve este balance?</w:t>
      </w:r>
      <w:r w:rsidRPr="0032691E">
        <w:rPr>
          <w:rFonts w:ascii="Calibri" w:hAnsi="Calibri"/>
          <w:color w:val="1E293B"/>
          <w:lang w:val="es-VE"/>
        </w:rPr>
        <w:t xml:space="preserve"> Es la balanza nacional de la energía. Muestra cuánta fuerza eléctrica tiene instalada el país en cada región y cómo se distribuye entre los Andes, el Zulia, el Centro, Oriente y Guayana.</w:t>
      </w:r>
    </w:p>
    <w:p w14:paraId="751FDDEC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62918DFC" w14:textId="77777777" w:rsidR="00970AF7" w:rsidRPr="0032691E" w:rsidRDefault="00000000">
      <w:pPr>
        <w:spacing w:before="200" w:after="60"/>
        <w:rPr>
          <w:lang w:val="es-VE"/>
        </w:rPr>
      </w:pPr>
      <w:r w:rsidRPr="0032691E">
        <w:rPr>
          <w:rFonts w:ascii="Calibri" w:hAnsi="Calibri"/>
          <w:b/>
          <w:color w:val="1E293B"/>
          <w:sz w:val="25"/>
          <w:lang w:val="es-VE"/>
        </w:rPr>
        <w:t>MÓDULO 5: ATLAS UNIFILAR NACIONAL CND (LIENZO MURAL DINÁMICO 2.0m × 1.1m)</w:t>
      </w:r>
    </w:p>
    <w:p w14:paraId="0500E214" w14:textId="77777777" w:rsidR="00970AF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595A11A" wp14:editId="48522E46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a_sen_05_atl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D177" w14:textId="77777777" w:rsidR="00970AF7" w:rsidRPr="0032691E" w:rsidRDefault="00000000">
      <w:pPr>
        <w:spacing w:before="40" w:after="160"/>
        <w:jc w:val="center"/>
        <w:rPr>
          <w:lang w:val="es-VE"/>
        </w:rPr>
      </w:pPr>
      <w:r w:rsidRPr="0032691E">
        <w:rPr>
          <w:rFonts w:ascii="Calibri" w:hAnsi="Calibri"/>
          <w:i/>
          <w:color w:val="64748B"/>
          <w:sz w:val="18"/>
          <w:lang w:val="es-VE"/>
        </w:rPr>
        <w:t>Figura: Atlas Unifilar Nacional CND Panorámico</w:t>
      </w:r>
    </w:p>
    <w:p w14:paraId="77897E8B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🔬</w:t>
      </w:r>
      <w:r w:rsidRPr="0032691E">
        <w:rPr>
          <w:rFonts w:ascii="Calibri" w:hAnsi="Calibri"/>
          <w:b/>
          <w:color w:val="334155"/>
          <w:lang w:val="es-VE"/>
        </w:rPr>
        <w:t xml:space="preserve"> 5.1. Para el Ingeniero Especialista en Potencia y Despacho:</w:t>
      </w:r>
    </w:p>
    <w:p w14:paraId="70C8A32A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El Atlas Unifilar CND digitaliza con fidelidad vectorial micrométrica el plano mural de 2.000 mm × 1.110 mm (5.669,25 × 3.146,25 pt) del Despacho Nacional. Su motor se basa en un </w:t>
      </w:r>
      <w:r w:rsidRPr="0032691E">
        <w:rPr>
          <w:rFonts w:ascii="Calibri" w:hAnsi="Calibri"/>
          <w:b/>
          <w:color w:val="1E293B"/>
          <w:lang w:val="es-VE"/>
        </w:rPr>
        <w:t>ViewBox dinámico SVG nativo</w:t>
      </w:r>
      <w:r w:rsidRPr="0032691E">
        <w:rPr>
          <w:rFonts w:ascii="Calibri" w:hAnsi="Calibri"/>
          <w:color w:val="1E293B"/>
          <w:lang w:val="es-VE"/>
        </w:rPr>
        <w:t>, desterrando el escalado destructivo matricial:</w:t>
      </w:r>
    </w:p>
    <w:p w14:paraId="5C286815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Pan &amp; Zoom Suave:</w:t>
      </w:r>
      <w:r w:rsidRPr="0032691E">
        <w:rPr>
          <w:rFonts w:ascii="Calibri" w:hAnsi="Calibri"/>
          <w:color w:val="1E293B"/>
          <w:lang w:val="es-VE"/>
        </w:rPr>
        <w:t xml:space="preserve"> Arrastre vectorial continuo e interpolación mediante física cúbica ease-out en 450 ms al seleccionar elementos.</w:t>
      </w:r>
    </w:p>
    <w:p w14:paraId="152DE824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Tipografía Adaptativa Intermedia:</w:t>
      </w:r>
      <w:r w:rsidRPr="0032691E">
        <w:rPr>
          <w:rFonts w:ascii="Calibri" w:hAnsi="Calibri"/>
          <w:color w:val="1E293B"/>
          <w:lang w:val="es-VE"/>
        </w:rPr>
        <w:t xml:space="preserve"> Las fuentes tipográficas se recalculan matemáticamente según la potencia de zoom (`potencia = 0.22`), evitando que los textos se vuelvan gigantescos en panorámica o se reduzcan en exceso en planos cerrados.</w:t>
      </w:r>
    </w:p>
    <w:p w14:paraId="1D2F5FE2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Filtro de Capas de Tensión:</w:t>
      </w:r>
      <w:r w:rsidRPr="0032691E">
        <w:rPr>
          <w:rFonts w:ascii="Calibri" w:hAnsi="Calibri"/>
          <w:color w:val="1E293B"/>
          <w:lang w:val="es-VE"/>
        </w:rPr>
        <w:t xml:space="preserve"> Botones de filtrado rápido para aislar selectivamente la troncal de 765 kV, la red de 400 kV, 230 kV, 138 kV, 115 kV o 69 kV.</w:t>
      </w:r>
    </w:p>
    <w:p w14:paraId="3D7E1A6C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💡</w:t>
      </w:r>
      <w:r w:rsidRPr="0032691E">
        <w:rPr>
          <w:rFonts w:ascii="Calibri" w:hAnsi="Calibri"/>
          <w:b/>
          <w:color w:val="334155"/>
          <w:lang w:val="es-VE"/>
        </w:rPr>
        <w:t xml:space="preserve"> 5.2. Explicación Coloquial y Pedagógica:</w:t>
      </w:r>
    </w:p>
    <w:p w14:paraId="29C8795A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lastRenderedPageBreak/>
        <w:t>¿Qué es este módulo?</w:t>
      </w:r>
      <w:r w:rsidRPr="0032691E">
        <w:rPr>
          <w:rFonts w:ascii="Calibri" w:hAnsi="Calibri"/>
          <w:color w:val="1E293B"/>
          <w:lang w:val="es-VE"/>
        </w:rPr>
        <w:t xml:space="preserve"> Es el mapa maestro de todas las autopistas eléctricas de Venezuela. Imagina un plano gigante de 2 metros de ancho desplegado en la pared del Centro de Despacho, pero que ahora puedes mover con el ratón de tu computadora, acercar con la ruedita y explorar con zoom infinito sin que las letras se deformen.</w:t>
      </w:r>
    </w:p>
    <w:p w14:paraId="0AE43C8D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70F3B24E" w14:textId="77777777" w:rsidR="00970AF7" w:rsidRPr="0032691E" w:rsidRDefault="00000000">
      <w:pPr>
        <w:spacing w:before="200" w:after="60"/>
        <w:rPr>
          <w:lang w:val="es-VE"/>
        </w:rPr>
      </w:pPr>
      <w:r w:rsidRPr="0032691E">
        <w:rPr>
          <w:rFonts w:ascii="Calibri" w:hAnsi="Calibri"/>
          <w:b/>
          <w:color w:val="1E293B"/>
          <w:sz w:val="25"/>
          <w:lang w:val="es-VE"/>
        </w:rPr>
        <w:t>MÓDULO 6: CONMUTADOR DUAL DE FONDO: LIENZO BLANCO OFICIAL CND VS. SCADA OSCURO</w:t>
      </w:r>
    </w:p>
    <w:p w14:paraId="500C464F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El sistema resuelve definitivamente el problema histórico de visibilidad de las líneas de subtransmisión (69 kV y 115 kV) mediante su </w:t>
      </w:r>
      <w:r w:rsidRPr="0032691E">
        <w:rPr>
          <w:rFonts w:ascii="Calibri" w:hAnsi="Calibri"/>
          <w:b/>
          <w:color w:val="1E293B"/>
          <w:lang w:val="es-VE"/>
        </w:rPr>
        <w:t>Selector Dual de Fondo</w:t>
      </w:r>
      <w:r w:rsidRPr="0032691E">
        <w:rPr>
          <w:rFonts w:ascii="Calibri" w:hAnsi="Calibri"/>
          <w:color w:val="1E293B"/>
          <w:lang w:val="es-VE"/>
        </w:rPr>
        <w:t>, accesible en la barra superior del Atlas:</w:t>
      </w:r>
    </w:p>
    <w:p w14:paraId="01F214CD" w14:textId="77777777" w:rsidR="00970AF7" w:rsidRPr="0032691E" w:rsidRDefault="00000000">
      <w:pPr>
        <w:spacing w:before="160" w:after="40"/>
        <w:rPr>
          <w:lang w:val="es-VE"/>
        </w:rPr>
      </w:pPr>
      <w:r w:rsidRPr="0032691E">
        <w:rPr>
          <w:rFonts w:ascii="Calibri" w:hAnsi="Calibri"/>
          <w:b/>
          <w:color w:val="334155"/>
          <w:lang w:val="es-VE"/>
        </w:rPr>
        <w:t>☀</w:t>
      </w:r>
      <w:r>
        <w:rPr>
          <w:rFonts w:ascii="Calibri" w:hAnsi="Calibri"/>
          <w:b/>
          <w:color w:val="334155"/>
        </w:rPr>
        <w:t>️</w:t>
      </w:r>
      <w:r w:rsidRPr="0032691E">
        <w:rPr>
          <w:rFonts w:ascii="Calibri" w:hAnsi="Calibri"/>
          <w:b/>
          <w:color w:val="334155"/>
          <w:lang w:val="es-VE"/>
        </w:rPr>
        <w:t xml:space="preserve"> MODO 1: LIENZO BLANCO OFICIAL CND (ACTIVO POR DEFECTO)</w:t>
      </w:r>
    </w:p>
    <w:p w14:paraId="3F14B69E" w14:textId="77777777" w:rsidR="00970AF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3C60661" wp14:editId="2EEF6DA3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nto_lienzo_blan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A372" w14:textId="77777777" w:rsidR="00970AF7" w:rsidRPr="0032691E" w:rsidRDefault="00000000">
      <w:pPr>
        <w:spacing w:before="40" w:after="160"/>
        <w:jc w:val="center"/>
        <w:rPr>
          <w:lang w:val="es-VE"/>
        </w:rPr>
      </w:pPr>
      <w:r w:rsidRPr="0032691E">
        <w:rPr>
          <w:rFonts w:ascii="Calibri" w:hAnsi="Calibri"/>
          <w:i/>
          <w:color w:val="64748B"/>
          <w:sz w:val="18"/>
          <w:lang w:val="es-VE"/>
        </w:rPr>
        <w:t>Figura: S/E EL CONVENTO en Lienzo Blanco Oficial CND</w:t>
      </w:r>
    </w:p>
    <w:p w14:paraId="7EC100EF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Fundamento Técnico:</w:t>
      </w:r>
      <w:r w:rsidRPr="0032691E">
        <w:rPr>
          <w:rFonts w:ascii="Calibri" w:hAnsi="Calibri"/>
          <w:color w:val="1E293B"/>
          <w:lang w:val="es-VE"/>
        </w:rPr>
        <w:t xml:space="preserve"> El plano original de Visio/PDF de CND fue diseñado para papel blanco. Sobre el fondo blanco puro (`#ffffff`) con cuadrícula milimétrica CAD (`#e2e8f0`):</w:t>
      </w:r>
    </w:p>
    <w:p w14:paraId="4D4DDDB0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Las líneas y barras de </w:t>
      </w:r>
      <w:r w:rsidRPr="0032691E">
        <w:rPr>
          <w:rFonts w:ascii="Calibri" w:hAnsi="Calibri"/>
          <w:b/>
          <w:color w:val="1E293B"/>
          <w:lang w:val="es-VE"/>
        </w:rPr>
        <w:t>69 kV</w:t>
      </w:r>
      <w:r w:rsidRPr="0032691E">
        <w:rPr>
          <w:rFonts w:ascii="Calibri" w:hAnsi="Calibri"/>
          <w:color w:val="1E293B"/>
          <w:lang w:val="es-VE"/>
        </w:rPr>
        <w:t xml:space="preserve"> se proyectan en </w:t>
      </w:r>
      <w:r w:rsidRPr="0032691E">
        <w:rPr>
          <w:rFonts w:ascii="Calibri" w:hAnsi="Calibri"/>
          <w:b/>
          <w:color w:val="1E293B"/>
          <w:lang w:val="es-VE"/>
        </w:rPr>
        <w:t>negro azabache sólido (`#000000`)</w:t>
      </w:r>
      <w:r w:rsidRPr="0032691E">
        <w:rPr>
          <w:rFonts w:ascii="Calibri" w:hAnsi="Calibri"/>
          <w:color w:val="1E293B"/>
          <w:lang w:val="es-VE"/>
        </w:rPr>
        <w:t xml:space="preserve">, logrando un contraste perfecto de </w:t>
      </w:r>
      <w:r w:rsidRPr="0032691E">
        <w:rPr>
          <w:rFonts w:ascii="Calibri" w:hAnsi="Calibri"/>
          <w:b/>
          <w:color w:val="1E293B"/>
          <w:lang w:val="es-VE"/>
        </w:rPr>
        <w:t>21:1</w:t>
      </w:r>
      <w:r w:rsidRPr="0032691E">
        <w:rPr>
          <w:rFonts w:ascii="Calibri" w:hAnsi="Calibri"/>
          <w:color w:val="1E293B"/>
          <w:lang w:val="es-VE"/>
        </w:rPr>
        <w:t xml:space="preserve"> según norma WCAG AAA.</w:t>
      </w:r>
    </w:p>
    <w:p w14:paraId="3F3E955C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Las líneas de </w:t>
      </w:r>
      <w:r w:rsidRPr="0032691E">
        <w:rPr>
          <w:rFonts w:ascii="Calibri" w:hAnsi="Calibri"/>
          <w:b/>
          <w:color w:val="1E293B"/>
          <w:lang w:val="es-VE"/>
        </w:rPr>
        <w:t>115 kV</w:t>
      </w:r>
      <w:r w:rsidRPr="0032691E">
        <w:rPr>
          <w:rFonts w:ascii="Calibri" w:hAnsi="Calibri"/>
          <w:color w:val="1E293B"/>
          <w:lang w:val="es-VE"/>
        </w:rPr>
        <w:t xml:space="preserve"> se proyectan en </w:t>
      </w:r>
      <w:r w:rsidRPr="0032691E">
        <w:rPr>
          <w:rFonts w:ascii="Calibri" w:hAnsi="Calibri"/>
          <w:b/>
          <w:color w:val="1E293B"/>
          <w:lang w:val="es-VE"/>
        </w:rPr>
        <w:t>azul marino eléctrico (`#0038A8`)</w:t>
      </w:r>
      <w:r w:rsidRPr="0032691E">
        <w:rPr>
          <w:rFonts w:ascii="Calibri" w:hAnsi="Calibri"/>
          <w:color w:val="1E293B"/>
          <w:lang w:val="es-VE"/>
        </w:rPr>
        <w:t>.</w:t>
      </w:r>
    </w:p>
    <w:p w14:paraId="5EF4BDE4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Las líneas de </w:t>
      </w:r>
      <w:r w:rsidRPr="0032691E">
        <w:rPr>
          <w:rFonts w:ascii="Calibri" w:hAnsi="Calibri"/>
          <w:b/>
          <w:color w:val="1E293B"/>
          <w:lang w:val="es-VE"/>
        </w:rPr>
        <w:t>230 kV</w:t>
      </w:r>
      <w:r w:rsidRPr="0032691E">
        <w:rPr>
          <w:rFonts w:ascii="Calibri" w:hAnsi="Calibri"/>
          <w:color w:val="1E293B"/>
          <w:lang w:val="es-VE"/>
        </w:rPr>
        <w:t xml:space="preserve"> en </w:t>
      </w:r>
      <w:r w:rsidRPr="0032691E">
        <w:rPr>
          <w:rFonts w:ascii="Calibri" w:hAnsi="Calibri"/>
          <w:b/>
          <w:color w:val="1E293B"/>
          <w:lang w:val="es-VE"/>
        </w:rPr>
        <w:t>rojo señal (`#DC2626`)</w:t>
      </w:r>
      <w:r w:rsidRPr="0032691E">
        <w:rPr>
          <w:rFonts w:ascii="Calibri" w:hAnsi="Calibri"/>
          <w:color w:val="1E293B"/>
          <w:lang w:val="es-VE"/>
        </w:rPr>
        <w:t xml:space="preserve">, </w:t>
      </w:r>
      <w:r w:rsidRPr="0032691E">
        <w:rPr>
          <w:rFonts w:ascii="Calibri" w:hAnsi="Calibri"/>
          <w:b/>
          <w:color w:val="1E293B"/>
          <w:lang w:val="es-VE"/>
        </w:rPr>
        <w:t>400 kV</w:t>
      </w:r>
      <w:r w:rsidRPr="0032691E">
        <w:rPr>
          <w:rFonts w:ascii="Calibri" w:hAnsi="Calibri"/>
          <w:color w:val="1E293B"/>
          <w:lang w:val="es-VE"/>
        </w:rPr>
        <w:t xml:space="preserve"> en </w:t>
      </w:r>
      <w:r w:rsidRPr="0032691E">
        <w:rPr>
          <w:rFonts w:ascii="Calibri" w:hAnsi="Calibri"/>
          <w:b/>
          <w:color w:val="1E293B"/>
          <w:lang w:val="es-VE"/>
        </w:rPr>
        <w:t>verde esmeralda (`#16A34A`)</w:t>
      </w:r>
      <w:r w:rsidRPr="0032691E">
        <w:rPr>
          <w:rFonts w:ascii="Calibri" w:hAnsi="Calibri"/>
          <w:color w:val="1E293B"/>
          <w:lang w:val="es-VE"/>
        </w:rPr>
        <w:t xml:space="preserve"> y </w:t>
      </w:r>
      <w:r w:rsidRPr="0032691E">
        <w:rPr>
          <w:rFonts w:ascii="Calibri" w:hAnsi="Calibri"/>
          <w:b/>
          <w:color w:val="1E293B"/>
          <w:lang w:val="es-VE"/>
        </w:rPr>
        <w:t>765 kV</w:t>
      </w:r>
      <w:r w:rsidRPr="0032691E">
        <w:rPr>
          <w:rFonts w:ascii="Calibri" w:hAnsi="Calibri"/>
          <w:color w:val="1E293B"/>
          <w:lang w:val="es-VE"/>
        </w:rPr>
        <w:t xml:space="preserve"> en </w:t>
      </w:r>
      <w:r w:rsidRPr="0032691E">
        <w:rPr>
          <w:rFonts w:ascii="Calibri" w:hAnsi="Calibri"/>
          <w:b/>
          <w:color w:val="1E293B"/>
          <w:lang w:val="es-VE"/>
        </w:rPr>
        <w:t>ámbar/naranja (`#D97706`)</w:t>
      </w:r>
      <w:r w:rsidRPr="0032691E">
        <w:rPr>
          <w:rFonts w:ascii="Calibri" w:hAnsi="Calibri"/>
          <w:color w:val="1E293B"/>
          <w:lang w:val="es-VE"/>
        </w:rPr>
        <w:t>.</w:t>
      </w:r>
    </w:p>
    <w:p w14:paraId="6E25BB00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Los nombres de subestaciones cuentan con un </w:t>
      </w:r>
      <w:r w:rsidRPr="0032691E">
        <w:rPr>
          <w:rFonts w:ascii="Calibri" w:hAnsi="Calibri"/>
          <w:b/>
          <w:color w:val="1E293B"/>
          <w:lang w:val="es-VE"/>
        </w:rPr>
        <w:t>halo blanco protector (`paintOrder="stroke"`)</w:t>
      </w:r>
      <w:r w:rsidRPr="0032691E">
        <w:rPr>
          <w:rFonts w:ascii="Calibri" w:hAnsi="Calibri"/>
          <w:color w:val="1E293B"/>
          <w:lang w:val="es-VE"/>
        </w:rPr>
        <w:t xml:space="preserve"> que impide colisiones visuales cuando cruzan líneas de patio.</w:t>
      </w:r>
    </w:p>
    <w:p w14:paraId="3883F3C6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lastRenderedPageBreak/>
        <w:t>🌙</w:t>
      </w:r>
      <w:r w:rsidRPr="0032691E">
        <w:rPr>
          <w:rFonts w:ascii="Calibri" w:hAnsi="Calibri"/>
          <w:b/>
          <w:color w:val="334155"/>
          <w:lang w:val="es-VE"/>
        </w:rPr>
        <w:t xml:space="preserve"> MODO 2: SCADA OSCURO (CENTRO DE CONTROL NOCTURNO)</w:t>
      </w:r>
    </w:p>
    <w:p w14:paraId="392BC7AD" w14:textId="77777777" w:rsidR="00970AF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24DDB1C" wp14:editId="6FDB934A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nto_scada_oscu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FC08" w14:textId="77777777" w:rsidR="00970AF7" w:rsidRPr="0032691E" w:rsidRDefault="00000000">
      <w:pPr>
        <w:spacing w:before="40" w:after="160"/>
        <w:jc w:val="center"/>
        <w:rPr>
          <w:lang w:val="es-VE"/>
        </w:rPr>
      </w:pPr>
      <w:r w:rsidRPr="0032691E">
        <w:rPr>
          <w:rFonts w:ascii="Calibri" w:hAnsi="Calibri"/>
          <w:i/>
          <w:color w:val="64748B"/>
          <w:sz w:val="18"/>
          <w:lang w:val="es-VE"/>
        </w:rPr>
        <w:t>Figura: S/E EL CONVENTO en Modo SCADA Oscuro con Colores Calibrados</w:t>
      </w:r>
    </w:p>
    <w:p w14:paraId="64ACA3FC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Fundamento Técnico:</w:t>
      </w:r>
      <w:r w:rsidRPr="0032691E">
        <w:rPr>
          <w:rFonts w:ascii="Calibri" w:hAnsi="Calibri"/>
          <w:color w:val="1E293B"/>
          <w:lang w:val="es-VE"/>
        </w:rPr>
        <w:t xml:space="preserve"> Si el operador activa `SCADA Oscuro`, el motor cromático dinámico recalcula al vuelo las tensiones comprometidas:</w:t>
      </w:r>
    </w:p>
    <w:p w14:paraId="4E1BD5A9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69 kV:</w:t>
      </w:r>
      <w:r w:rsidRPr="0032691E">
        <w:rPr>
          <w:rFonts w:ascii="Calibri" w:hAnsi="Calibri"/>
          <w:color w:val="1E293B"/>
          <w:lang w:val="es-VE"/>
        </w:rPr>
        <w:t xml:space="preserve"> Se transforma automáticamente en </w:t>
      </w:r>
      <w:r w:rsidRPr="0032691E">
        <w:rPr>
          <w:rFonts w:ascii="Calibri" w:hAnsi="Calibri"/>
          <w:b/>
          <w:color w:val="1E293B"/>
          <w:lang w:val="es-VE"/>
        </w:rPr>
        <w:t>Plata Titanio Luminiscente (`#E2E8F0`)</w:t>
      </w:r>
      <w:r w:rsidRPr="0032691E">
        <w:rPr>
          <w:rFonts w:ascii="Calibri" w:hAnsi="Calibri"/>
          <w:color w:val="1E293B"/>
          <w:lang w:val="es-VE"/>
        </w:rPr>
        <w:t>.</w:t>
      </w:r>
    </w:p>
    <w:p w14:paraId="1CE08971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115 kV:</w:t>
      </w:r>
      <w:r w:rsidRPr="0032691E">
        <w:rPr>
          <w:rFonts w:ascii="Calibri" w:hAnsi="Calibri"/>
          <w:color w:val="1E293B"/>
          <w:lang w:val="es-VE"/>
        </w:rPr>
        <w:t xml:space="preserve"> Se transforma en </w:t>
      </w:r>
      <w:r w:rsidRPr="0032691E">
        <w:rPr>
          <w:rFonts w:ascii="Calibri" w:hAnsi="Calibri"/>
          <w:b/>
          <w:color w:val="1E293B"/>
          <w:lang w:val="es-VE"/>
        </w:rPr>
        <w:t>Celeste Eléctrico / Cian (`#38BDF8`)</w:t>
      </w:r>
      <w:r w:rsidRPr="0032691E">
        <w:rPr>
          <w:rFonts w:ascii="Calibri" w:hAnsi="Calibri"/>
          <w:color w:val="1E293B"/>
          <w:lang w:val="es-VE"/>
        </w:rPr>
        <w:t>.</w:t>
      </w:r>
    </w:p>
    <w:p w14:paraId="6D056DBE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De este modo, ninguna línea ni barra se pierde en la oscuridad del lienzo.</w:t>
      </w:r>
    </w:p>
    <w:p w14:paraId="04500CFC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0E0ED5E0" w14:textId="77777777" w:rsidR="00970AF7" w:rsidRPr="0032691E" w:rsidRDefault="00000000">
      <w:pPr>
        <w:spacing w:before="200" w:after="60"/>
        <w:rPr>
          <w:lang w:val="es-VE"/>
        </w:rPr>
      </w:pPr>
      <w:r w:rsidRPr="0032691E">
        <w:rPr>
          <w:rFonts w:ascii="Calibri" w:hAnsi="Calibri"/>
          <w:b/>
          <w:color w:val="1E293B"/>
          <w:sz w:val="25"/>
          <w:lang w:val="es-VE"/>
        </w:rPr>
        <w:t>MÓDULO 7: CASOS DE ESTUDIO OPERATIVOS REALES EN EL ATLAS UNIFILAR</w:t>
      </w:r>
    </w:p>
    <w:p w14:paraId="6A2F99EF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📍</w:t>
      </w:r>
      <w:r w:rsidRPr="0032691E">
        <w:rPr>
          <w:rFonts w:ascii="Calibri" w:hAnsi="Calibri"/>
          <w:b/>
          <w:color w:val="334155"/>
          <w:lang w:val="es-VE"/>
        </w:rPr>
        <w:t xml:space="preserve"> CASO 1: SUBESTACIÓN EL CONVENTO (230/69 kV · 748 MVA · CARACAS METROPOLITANA)</w:t>
      </w:r>
    </w:p>
    <w:p w14:paraId="3F31626E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Como se aprecia en la captura de detalle, S/E EL CONVENTO (`coord: 4081, 151`) constituye el nodo alimentador medular del anillo Este de la Gran Caracas:</w:t>
      </w:r>
    </w:p>
    <w:p w14:paraId="6499F26C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Barra Colectora 230 kV:</w:t>
      </w:r>
      <w:r w:rsidRPr="0032691E">
        <w:rPr>
          <w:rFonts w:ascii="Calibri" w:hAnsi="Calibri"/>
          <w:color w:val="1E293B"/>
          <w:lang w:val="es-VE"/>
        </w:rPr>
        <w:t xml:space="preserve"> Barra horizontal roja de 99.2 pt que recibe la alimentación desde Curupao y Boyacá.</w:t>
      </w:r>
    </w:p>
    <w:p w14:paraId="00F5F89F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Banco de Transformación Principal:</w:t>
      </w:r>
      <w:r w:rsidRPr="0032691E">
        <w:rPr>
          <w:rFonts w:ascii="Calibri" w:hAnsi="Calibri"/>
          <w:color w:val="1E293B"/>
          <w:lang w:val="es-VE"/>
        </w:rPr>
        <w:t xml:space="preserve"> 4 unidades monofásicas de 187 MVA totalizando </w:t>
      </w:r>
      <w:r w:rsidRPr="0032691E">
        <w:rPr>
          <w:rFonts w:ascii="Calibri" w:hAnsi="Calibri"/>
          <w:b/>
          <w:color w:val="1E293B"/>
          <w:lang w:val="es-VE"/>
        </w:rPr>
        <w:t>748 MVA</w:t>
      </w:r>
      <w:r w:rsidRPr="0032691E">
        <w:rPr>
          <w:rFonts w:ascii="Calibri" w:hAnsi="Calibri"/>
          <w:color w:val="1E293B"/>
          <w:lang w:val="es-VE"/>
        </w:rPr>
        <w:t>.</w:t>
      </w:r>
    </w:p>
    <w:p w14:paraId="774FA800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Barra Colectora 69 kV:</w:t>
      </w:r>
      <w:r w:rsidRPr="0032691E">
        <w:rPr>
          <w:rFonts w:ascii="Calibri" w:hAnsi="Calibri"/>
          <w:color w:val="1E293B"/>
          <w:lang w:val="es-VE"/>
        </w:rPr>
        <w:t xml:space="preserve"> Barra horizontal extendida de </w:t>
      </w:r>
      <w:r w:rsidRPr="0032691E">
        <w:rPr>
          <w:rFonts w:ascii="Calibri" w:hAnsi="Calibri"/>
          <w:b/>
          <w:color w:val="1E293B"/>
          <w:lang w:val="es-VE"/>
        </w:rPr>
        <w:t>219.7 pt</w:t>
      </w:r>
      <w:r w:rsidRPr="0032691E">
        <w:rPr>
          <w:rFonts w:ascii="Calibri" w:hAnsi="Calibri"/>
          <w:color w:val="1E293B"/>
          <w:lang w:val="es-VE"/>
        </w:rPr>
        <w:t xml:space="preserve"> en negro sólido (modo blanco) o plata (modo oscuro) en la cota Y = 189,0 pt.</w:t>
      </w:r>
    </w:p>
    <w:p w14:paraId="45ED09B4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Alimentadores de Subtransmisión:</w:t>
      </w:r>
      <w:r w:rsidRPr="0032691E">
        <w:rPr>
          <w:rFonts w:ascii="Calibri" w:hAnsi="Calibri"/>
          <w:color w:val="1E293B"/>
          <w:lang w:val="es-VE"/>
        </w:rPr>
        <w:t xml:space="preserve"> Salidas directas hacia *Tarzilandia, Chacao, Dos Caminos, Metro Los Cortijos, Palo Verde, La Urbina, Santa Rosa, Cota Mil, Lagunita, Tap Castillo, Guairita, etc.*</w:t>
      </w:r>
    </w:p>
    <w:p w14:paraId="319A0D97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7E083377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lastRenderedPageBreak/>
        <w:t>📍</w:t>
      </w:r>
      <w:r w:rsidRPr="0032691E">
        <w:rPr>
          <w:rFonts w:ascii="Calibri" w:hAnsi="Calibri"/>
          <w:b/>
          <w:color w:val="334155"/>
          <w:lang w:val="es-VE"/>
        </w:rPr>
        <w:t xml:space="preserve"> CASO 2: CENTRAL HIDROELÉCTRICA SIMÓN BOLÍVAR (GURI B - 765/400/230 kV · 7.480 MW)</w:t>
      </w:r>
    </w:p>
    <w:p w14:paraId="1BAB65BA" w14:textId="77777777" w:rsidR="00970AF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5AE8115" wp14:editId="229ADE91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a_sen_06_guri_unifil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500A" w14:textId="77777777" w:rsidR="00970AF7" w:rsidRDefault="00000000">
      <w:pPr>
        <w:spacing w:before="40" w:after="160"/>
        <w:jc w:val="center"/>
      </w:pPr>
      <w:r>
        <w:rPr>
          <w:rFonts w:ascii="Calibri" w:hAnsi="Calibri"/>
          <w:i/>
          <w:color w:val="64748B"/>
          <w:sz w:val="18"/>
        </w:rPr>
        <w:t>Figura: Detalle Unifilar Central Guri</w:t>
      </w:r>
    </w:p>
    <w:p w14:paraId="1E8D3D57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Patio EAT 765 kV:</w:t>
      </w:r>
      <w:r w:rsidRPr="0032691E">
        <w:rPr>
          <w:rFonts w:ascii="Calibri" w:hAnsi="Calibri"/>
          <w:color w:val="1E293B"/>
          <w:lang w:val="es-VE"/>
        </w:rPr>
        <w:t xml:space="preserve"> Barra colectora de gran sección en color naranja troncal (`#FFA100` / `#D97706`).</w:t>
      </w:r>
    </w:p>
    <w:p w14:paraId="2B7704CE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Patios de 400 kV y 230 kV:</w:t>
      </w:r>
      <w:r w:rsidRPr="0032691E">
        <w:rPr>
          <w:rFonts w:ascii="Calibri" w:hAnsi="Calibri"/>
          <w:color w:val="1E293B"/>
          <w:lang w:val="es-VE"/>
        </w:rPr>
        <w:t xml:space="preserve"> Barras verdes y rojas enlazadas con los autotransformadores elevadores de 450 MVA y 5.600 MVA hacia S/E SIDOR R7 y la red Guayana B.</w:t>
      </w:r>
    </w:p>
    <w:p w14:paraId="10001048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Unidades Turbomotrices:</w:t>
      </w:r>
      <w:r w:rsidRPr="0032691E">
        <w:rPr>
          <w:rFonts w:ascii="Calibri" w:hAnsi="Calibri"/>
          <w:color w:val="1E293B"/>
          <w:lang w:val="es-VE"/>
        </w:rPr>
        <w:t xml:space="preserve"> Generadores circulares con símbolo sinusoidal indicando la potencia instalada de Guri A (3.336 MW) y Guri B (7.480 MW).</w:t>
      </w:r>
    </w:p>
    <w:p w14:paraId="6D7D4B88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7AC79524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📍</w:t>
      </w:r>
      <w:r w:rsidRPr="0032691E">
        <w:rPr>
          <w:rFonts w:ascii="Calibri" w:hAnsi="Calibri"/>
          <w:b/>
          <w:color w:val="334155"/>
          <w:lang w:val="es-VE"/>
        </w:rPr>
        <w:t xml:space="preserve"> CASO 3: CENTRAL TERMOELÉCTRICA PLANTA CENTRO (400/230/115 kV · 1.400 MW)</w:t>
      </w:r>
    </w:p>
    <w:p w14:paraId="55B18648" w14:textId="77777777" w:rsidR="00970AF7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A5935A5" wp14:editId="3B6BD408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a_sen_07_planta_centro_unifil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49E8" w14:textId="77777777" w:rsidR="00970AF7" w:rsidRDefault="00000000">
      <w:pPr>
        <w:spacing w:before="40" w:after="160"/>
        <w:jc w:val="center"/>
      </w:pPr>
      <w:r>
        <w:rPr>
          <w:rFonts w:ascii="Calibri" w:hAnsi="Calibri"/>
          <w:i/>
          <w:color w:val="64748B"/>
          <w:sz w:val="18"/>
        </w:rPr>
        <w:t>Figura: Detalle Unifilar Planta Centro</w:t>
      </w:r>
    </w:p>
    <w:p w14:paraId="46150347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Interconexión Centro-Occidente:</w:t>
      </w:r>
      <w:r w:rsidRPr="0032691E">
        <w:rPr>
          <w:rFonts w:ascii="Calibri" w:hAnsi="Calibri"/>
          <w:color w:val="1E293B"/>
          <w:lang w:val="es-VE"/>
        </w:rPr>
        <w:t xml:space="preserve"> Vinculación directa con S/E Yaracuy (400 kV), Morón (115 kV), Valle Seco y el anillo de Paraguaná (Punto Fijo I, II, Genevapca y Josefa Camejo).</w:t>
      </w:r>
    </w:p>
    <w:p w14:paraId="2F2B84E6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Transformación de Evacuación:</w:t>
      </w:r>
      <w:r w:rsidRPr="0032691E">
        <w:rPr>
          <w:rFonts w:ascii="Calibri" w:hAnsi="Calibri"/>
          <w:color w:val="1E293B"/>
          <w:lang w:val="es-VE"/>
        </w:rPr>
        <w:t xml:space="preserve"> Bancos de transformación de 100 MVA y 450 MVA interconectando los barrajes de 400 kV y 230 kV.</w:t>
      </w:r>
    </w:p>
    <w:p w14:paraId="339637AF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24E2FD08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📍</w:t>
      </w:r>
      <w:r w:rsidRPr="0032691E">
        <w:rPr>
          <w:rFonts w:ascii="Calibri" w:hAnsi="Calibri"/>
          <w:b/>
          <w:color w:val="334155"/>
          <w:lang w:val="es-VE"/>
        </w:rPr>
        <w:t xml:space="preserve"> CASO 4: ZOOM DE DETALLE FOCAL Y RETÍCULA RADAR HUD (15.7×)</w:t>
      </w:r>
    </w:p>
    <w:p w14:paraId="3311E82F" w14:textId="77777777" w:rsidR="00970AF7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2B20F9F" wp14:editId="740E22FF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a_sen_08_elemento_modal_hu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2977" w14:textId="77777777" w:rsidR="00970AF7" w:rsidRPr="0032691E" w:rsidRDefault="00000000">
      <w:pPr>
        <w:spacing w:before="40" w:after="160"/>
        <w:jc w:val="center"/>
        <w:rPr>
          <w:lang w:val="es-VE"/>
        </w:rPr>
      </w:pPr>
      <w:r w:rsidRPr="0032691E">
        <w:rPr>
          <w:rFonts w:ascii="Calibri" w:hAnsi="Calibri"/>
          <w:i/>
          <w:color w:val="64748B"/>
          <w:sz w:val="18"/>
          <w:lang w:val="es-VE"/>
        </w:rPr>
        <w:t>Figura: Retícula Radar HUD Focal sobre Banco de Transformación de 450 MVA</w:t>
      </w:r>
    </w:p>
    <w:p w14:paraId="4E14A4A1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Al hacer clic sobre cualquier equipo específico (turbina, banco transformador o tramo de barra), el visor:</w:t>
      </w:r>
    </w:p>
    <w:p w14:paraId="08FC8BA2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1. Desplaza y centra la cámara matemática suavemente sobre las coordenadas nativas CND.</w:t>
      </w:r>
    </w:p>
    <w:p w14:paraId="5B8582D8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2. Proyecta la </w:t>
      </w:r>
      <w:r w:rsidRPr="0032691E">
        <w:rPr>
          <w:rFonts w:ascii="Calibri" w:hAnsi="Calibri"/>
          <w:b/>
          <w:color w:val="1E293B"/>
          <w:lang w:val="es-VE"/>
        </w:rPr>
        <w:t>Retícula Radar HUD</w:t>
      </w:r>
      <w:r w:rsidRPr="0032691E">
        <w:rPr>
          <w:rFonts w:ascii="Calibri" w:hAnsi="Calibri"/>
          <w:color w:val="1E293B"/>
          <w:lang w:val="es-VE"/>
        </w:rPr>
        <w:t xml:space="preserve"> pulsante de grado militar con miras de cuadrante doradas y celestes.</w:t>
      </w:r>
    </w:p>
    <w:p w14:paraId="2BF96CC4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3. Despliega la </w:t>
      </w:r>
      <w:r w:rsidRPr="0032691E">
        <w:rPr>
          <w:rFonts w:ascii="Calibri" w:hAnsi="Calibri"/>
          <w:b/>
          <w:color w:val="1E293B"/>
          <w:lang w:val="es-VE"/>
        </w:rPr>
        <w:t>Ficha Técnica Flotante</w:t>
      </w:r>
      <w:r w:rsidRPr="0032691E">
        <w:rPr>
          <w:rFonts w:ascii="Calibri" w:hAnsi="Calibri"/>
          <w:color w:val="1E293B"/>
          <w:lang w:val="es-VE"/>
        </w:rPr>
        <w:t xml:space="preserve"> con los datos de placa, unidades bancarias, subestación asociada y botones de acción rápida:</w:t>
      </w:r>
    </w:p>
    <w:p w14:paraId="1ACE5BF2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`Zoom Detalle (18×)`: Aproximación ultra-cerrada.</w:t>
      </w:r>
    </w:p>
    <w:p w14:paraId="79AA03FD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`Ver Patio S/E`: Encuadre balanceado de toda la subestación.</w:t>
      </w:r>
    </w:p>
    <w:p w14:paraId="0A680024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`Alejar a Vista Nacional (1×)`: Retorno panorámico instantáneo.</w:t>
      </w:r>
    </w:p>
    <w:p w14:paraId="52DA290A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166534CF" w14:textId="77777777" w:rsidR="00970AF7" w:rsidRPr="0032691E" w:rsidRDefault="00000000">
      <w:pPr>
        <w:spacing w:before="240" w:after="80"/>
        <w:rPr>
          <w:lang w:val="es-VE"/>
        </w:rPr>
      </w:pPr>
      <w:r>
        <w:rPr>
          <w:rFonts w:ascii="Calibri" w:hAnsi="Calibri"/>
          <w:b/>
          <w:color w:val="004488"/>
          <w:sz w:val="30"/>
        </w:rPr>
        <w:t>🧐</w:t>
      </w:r>
      <w:r w:rsidRPr="0032691E">
        <w:rPr>
          <w:rFonts w:ascii="Calibri" w:hAnsi="Calibri"/>
          <w:b/>
          <w:color w:val="004488"/>
          <w:sz w:val="30"/>
          <w:lang w:val="es-VE"/>
        </w:rPr>
        <w:t xml:space="preserve"> 7. ANÁLISIS CRÍTICO DE GOBERNANZA: ARTICULACIÓN CND, TRANSMISIÓN Y DISTRIBUCIÓN (ISO 8000-110)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970AF7" w:rsidRPr="0032691E" w14:paraId="123D92FC" w14:textId="77777777">
        <w:trPr>
          <w:jc w:val="center"/>
        </w:trPr>
        <w:tc>
          <w:tcPr>
            <w:tcW w:w="9360" w:type="dxa"/>
            <w:shd w:val="clear" w:color="auto" w:fill="F4F6F8"/>
          </w:tcPr>
          <w:p w14:paraId="43A7AA50" w14:textId="77777777" w:rsidR="00970AF7" w:rsidRPr="0032691E" w:rsidRDefault="00000000">
            <w:pPr>
              <w:spacing w:before="80" w:after="80"/>
              <w:ind w:left="120"/>
              <w:rPr>
                <w:lang w:val="es-VE"/>
              </w:rPr>
            </w:pP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305: │                 ARQUITECTURA DE INTEGRACIÓN Y GOBERNANZA DEL SEN (ISO 8000 / COBIT)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306: 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307: │                                                             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lastRenderedPageBreak/>
              <w:t>308: │   [CENTRO NACIONAL DE DESPACHO - CND]         [GENERACIÓN Y TRANSMISIÓN TRONCAL]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309: │    Plano Unifilar SEN Mayo 2025                562 Subestaciones · 649 Barras EAT/AT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310: │    Troncales 765 kV / 400 kV / 230 kV          29.433 MW Generación · 54.872 MVA Trafo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311: │                  │                                               │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312: │                  └───────────────────────┬───────────────────────┘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313: │                                          ▼                  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314: │                        ┌───────────────────────────────────┐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315: │                        │    SIGA-SEN v1.0 (PUERTO 3008)    │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316: │                        │  Atlas Unifilar CND · PostgreSQL  │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317: │                        └─────────────────┬─────────────────┘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318: │                                          ▼ (Enlace de Frontera AT/MT)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319: │                        ┌───────────────────────────────────┐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320: │                        │     SIGAD v1.0 (PUERTO 3007)      │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321: │                        │  871 S/E Distribución · 4.207 Ctos│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322: │                        └─────────────────┬─────────────────┘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323: │                                          ▼                  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324: │                        ┌───────────────────────────────────┐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325: │                        │  REPOSITORIO MAESTRO GGPD (CORE)  │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326: │                        │   Fuente Única de Verdad Nacional │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327: │                        └───────────────────────────────────┘                                │</w:t>
            </w:r>
            <w:r w:rsidRPr="0032691E">
              <w:rPr>
                <w:rFonts w:ascii="Courier New" w:hAnsi="Courier New"/>
                <w:color w:val="1E293B"/>
                <w:sz w:val="19"/>
                <w:lang w:val="es-VE"/>
              </w:rPr>
              <w:br/>
              <w:t>328: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F3C91CE" w14:textId="77777777" w:rsidR="00970AF7" w:rsidRPr="0032691E" w:rsidRDefault="00970AF7">
      <w:pPr>
        <w:rPr>
          <w:lang w:val="es-VE"/>
        </w:rPr>
      </w:pPr>
    </w:p>
    <w:p w14:paraId="31B277E2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🚨</w:t>
      </w:r>
      <w:r w:rsidRPr="0032691E">
        <w:rPr>
          <w:rFonts w:ascii="Calibri" w:hAnsi="Calibri"/>
          <w:b/>
          <w:color w:val="334155"/>
          <w:lang w:val="es-VE"/>
        </w:rPr>
        <w:t xml:space="preserve"> 1. Deconstrucción de la Brecha CND vs. Distribución:</w:t>
      </w:r>
    </w:p>
    <w:p w14:paraId="26ADF018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Diagnóstico:</w:t>
      </w:r>
      <w:r w:rsidRPr="0032691E">
        <w:rPr>
          <w:rFonts w:ascii="Calibri" w:hAnsi="Calibri"/>
          <w:color w:val="1E293B"/>
          <w:lang w:val="es-VE"/>
        </w:rPr>
        <w:t xml:space="preserve"> Históricamente, el Centro Nacional de Despacho (CND) gestionaba la red troncal (765 kV a 115 kV) mediante planos unifilares en Visio/AutoCAD no vinculados a bases de datos relacionales, mientras que Distribución operaba en las subestaciones de 115/13.8 kV con hojas de cálculo aisladas. Esta desconexión impedía conocer en tiempo real si una indisponibilidad de un </w:t>
      </w:r>
      <w:r w:rsidRPr="0032691E">
        <w:rPr>
          <w:rFonts w:ascii="Calibri" w:hAnsi="Calibri"/>
          <w:color w:val="1E293B"/>
          <w:lang w:val="es-VE"/>
        </w:rPr>
        <w:lastRenderedPageBreak/>
        <w:t>transformador de 230/69 kV en EL CONVENTO afectaba directamente la continuidad en los alimentadores de distribución de Chacao o Petare.</w:t>
      </w:r>
    </w:p>
    <w:p w14:paraId="79E09E22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Solución de Arquitectura SIGA-SEN:</w:t>
      </w:r>
      <w:r w:rsidRPr="0032691E">
        <w:rPr>
          <w:rFonts w:ascii="Calibri" w:hAnsi="Calibri"/>
          <w:color w:val="1E293B"/>
          <w:lang w:val="es-VE"/>
        </w:rPr>
        <w:t xml:space="preserve"> SIGA-SEN indexa la topología física oficial del CND en una base de datos relacional PostgreSQL 18 estricta (`cnd_sen_unifilar_2025`), estableciendo la frontera de empalme con el sistema SIGAD (Distribución).</w:t>
      </w:r>
    </w:p>
    <w:p w14:paraId="391F8141" w14:textId="77777777" w:rsidR="00970AF7" w:rsidRPr="0032691E" w:rsidRDefault="00000000">
      <w:pPr>
        <w:spacing w:before="160" w:after="40"/>
        <w:rPr>
          <w:lang w:val="es-VE"/>
        </w:rPr>
      </w:pPr>
      <w:r>
        <w:rPr>
          <w:rFonts w:ascii="Calibri" w:hAnsi="Calibri"/>
          <w:b/>
          <w:color w:val="334155"/>
        </w:rPr>
        <w:t>🛡️</w:t>
      </w:r>
      <w:r w:rsidRPr="0032691E">
        <w:rPr>
          <w:rFonts w:ascii="Calibri" w:hAnsi="Calibri"/>
          <w:b/>
          <w:color w:val="334155"/>
          <w:lang w:val="es-VE"/>
        </w:rPr>
        <w:t xml:space="preserve"> 2. Erradicación del Sesgo de Ex-Operadoras:</w:t>
      </w:r>
    </w:p>
    <w:p w14:paraId="08AE5AAE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Conforme al dictamen `DOC-GGPD-2026-DIAG-PROC-001`, se normalizan todos los nombres y códigos de subestaciones bajo la taxonomía unificada CORPOELEC, eliminando discrepancias históricas heredadas de EDELCA, CADAFE, ENELVEN, ELECAR, ENELBAR y CALIFE.</w:t>
      </w:r>
    </w:p>
    <w:p w14:paraId="23D9844D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6AB55590" w14:textId="77777777" w:rsidR="00970AF7" w:rsidRPr="0032691E" w:rsidRDefault="00000000">
      <w:pPr>
        <w:spacing w:before="240" w:after="80"/>
        <w:rPr>
          <w:lang w:val="es-VE"/>
        </w:rPr>
      </w:pPr>
      <w:r>
        <w:rPr>
          <w:rFonts w:ascii="Calibri" w:hAnsi="Calibri"/>
          <w:b/>
          <w:color w:val="004488"/>
          <w:sz w:val="30"/>
        </w:rPr>
        <w:t>👥</w:t>
      </w:r>
      <w:r w:rsidRPr="0032691E">
        <w:rPr>
          <w:rFonts w:ascii="Calibri" w:hAnsi="Calibri"/>
          <w:b/>
          <w:color w:val="004488"/>
          <w:sz w:val="30"/>
          <w:lang w:val="es-VE"/>
        </w:rPr>
        <w:t xml:space="preserve"> 8. MATRIZ DE ROLES Y RESPONSABILIDADES (RACI)</w:t>
      </w:r>
    </w:p>
    <w:p w14:paraId="49A05C1D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Conforme a los estándares </w:t>
      </w:r>
      <w:r w:rsidRPr="0032691E">
        <w:rPr>
          <w:rFonts w:ascii="Calibri" w:hAnsi="Calibri"/>
          <w:b/>
          <w:color w:val="1E293B"/>
          <w:lang w:val="es-VE"/>
        </w:rPr>
        <w:t>ISACA COBIT 2019</w:t>
      </w:r>
      <w:r w:rsidRPr="0032691E">
        <w:rPr>
          <w:rFonts w:ascii="Calibri" w:hAnsi="Calibri"/>
          <w:color w:val="1E293B"/>
          <w:lang w:val="es-VE"/>
        </w:rPr>
        <w:t xml:space="preserve"> e </w:t>
      </w:r>
      <w:r w:rsidRPr="0032691E">
        <w:rPr>
          <w:rFonts w:ascii="Calibri" w:hAnsi="Calibri"/>
          <w:b/>
          <w:color w:val="1E293B"/>
          <w:lang w:val="es-VE"/>
        </w:rPr>
        <w:t>ISO 9001:2015</w:t>
      </w:r>
      <w:r w:rsidRPr="0032691E">
        <w:rPr>
          <w:rFonts w:ascii="Calibri" w:hAnsi="Calibri"/>
          <w:color w:val="1E293B"/>
          <w:lang w:val="es-VE"/>
        </w:rPr>
        <w:t>: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40"/>
        <w:gridCol w:w="1688"/>
        <w:gridCol w:w="2268"/>
        <w:gridCol w:w="1656"/>
        <w:gridCol w:w="1724"/>
      </w:tblGrid>
      <w:tr w:rsidR="00970AF7" w:rsidRPr="0032691E" w14:paraId="7D134DC6" w14:textId="77777777">
        <w:trPr>
          <w:jc w:val="center"/>
        </w:trPr>
        <w:tc>
          <w:tcPr>
            <w:tcW w:w="1872" w:type="dxa"/>
            <w:shd w:val="clear" w:color="auto" w:fill="003366"/>
            <w:vAlign w:val="center"/>
          </w:tcPr>
          <w:p w14:paraId="27FAA678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Fase Operativa / Tarea</w:t>
            </w:r>
          </w:p>
        </w:tc>
        <w:tc>
          <w:tcPr>
            <w:tcW w:w="1872" w:type="dxa"/>
            <w:shd w:val="clear" w:color="auto" w:fill="003366"/>
            <w:vAlign w:val="center"/>
          </w:tcPr>
          <w:p w14:paraId="55D10C94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Despachador CND</w:t>
            </w:r>
          </w:p>
        </w:tc>
        <w:tc>
          <w:tcPr>
            <w:tcW w:w="1872" w:type="dxa"/>
            <w:shd w:val="clear" w:color="auto" w:fill="003366"/>
            <w:vAlign w:val="center"/>
          </w:tcPr>
          <w:p w14:paraId="4FDC7271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Especialista Transmisión/Generación</w:t>
            </w:r>
          </w:p>
        </w:tc>
        <w:tc>
          <w:tcPr>
            <w:tcW w:w="1872" w:type="dxa"/>
            <w:shd w:val="clear" w:color="auto" w:fill="003366"/>
            <w:vAlign w:val="center"/>
          </w:tcPr>
          <w:p w14:paraId="571F295F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Planificador GGPD</w:t>
            </w:r>
          </w:p>
        </w:tc>
        <w:tc>
          <w:tcPr>
            <w:tcW w:w="1872" w:type="dxa"/>
            <w:shd w:val="clear" w:color="auto" w:fill="003366"/>
            <w:vAlign w:val="center"/>
          </w:tcPr>
          <w:p w14:paraId="618316EC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b/>
                <w:color w:val="FFFFFF"/>
                <w:sz w:val="20"/>
                <w:lang w:val="es-VE"/>
              </w:rPr>
              <w:t>Administrador Nacional de Sistemas e IA</w:t>
            </w:r>
          </w:p>
        </w:tc>
      </w:tr>
      <w:tr w:rsidR="00970AF7" w14:paraId="496BDCBB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89B904D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b/>
                <w:color w:val="334155"/>
                <w:sz w:val="19"/>
                <w:lang w:val="es-VE"/>
              </w:rPr>
              <w:t>Consulta y Monitoreo de Topología de Red Troncal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2FBBF0D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EDD30D5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6A756CA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CB93D27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I</w:t>
            </w:r>
          </w:p>
        </w:tc>
      </w:tr>
      <w:tr w:rsidR="00970AF7" w14:paraId="567D98C1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49FFCA6C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b/>
                <w:color w:val="334155"/>
                <w:sz w:val="19"/>
                <w:lang w:val="es-VE"/>
              </w:rPr>
              <w:t>Actualización de Parámetros de Placa de Turbinas y Bancos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75057EED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6EE3474D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R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203342E5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A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699A10A6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I</w:t>
            </w:r>
          </w:p>
        </w:tc>
      </w:tr>
      <w:tr w:rsidR="00970AF7" w14:paraId="205AF3FB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2B5A05E5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b/>
                <w:color w:val="334155"/>
                <w:sz w:val="19"/>
                <w:lang w:val="es-VE"/>
              </w:rPr>
              <w:t>Verificación de Enlaces de Frontera AT/MT con SIGAD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7A0FD9B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62DEDDD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B0B06DD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112FC05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I</w:t>
            </w:r>
          </w:p>
        </w:tc>
      </w:tr>
      <w:tr w:rsidR="00970AF7" w14:paraId="10DC8F40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5C4EA572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b/>
                <w:color w:val="334155"/>
                <w:sz w:val="19"/>
                <w:lang w:val="es-VE"/>
              </w:rPr>
              <w:t>Auditoría de Contrastes Cromáticos y Capas del Atlas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502DE845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0C348173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5556DF35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R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00BDEA92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A</w:t>
            </w:r>
          </w:p>
        </w:tc>
      </w:tr>
      <w:tr w:rsidR="00970AF7" w14:paraId="067782E7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7870442B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b/>
                <w:color w:val="334155"/>
                <w:sz w:val="19"/>
                <w:lang w:val="es-VE"/>
              </w:rPr>
              <w:t>Mantenimiento de BD PostgreSQL (`cnd_sen_unifilar_2025`)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5F41AA0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I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0AE24B3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I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3C29FD3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C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C7A2F5B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R / A</w:t>
            </w:r>
          </w:p>
        </w:tc>
      </w:tr>
    </w:tbl>
    <w:p w14:paraId="31E582A1" w14:textId="77777777" w:rsidR="00970AF7" w:rsidRDefault="00970AF7"/>
    <w:p w14:paraId="4CD1227E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*Convención:* </w:t>
      </w:r>
      <w:r w:rsidRPr="0032691E">
        <w:rPr>
          <w:rFonts w:ascii="Calibri" w:hAnsi="Calibri"/>
          <w:b/>
          <w:color w:val="1E293B"/>
          <w:lang w:val="es-VE"/>
        </w:rPr>
        <w:t>R</w:t>
      </w:r>
      <w:r w:rsidRPr="0032691E">
        <w:rPr>
          <w:rFonts w:ascii="Calibri" w:hAnsi="Calibri"/>
          <w:color w:val="1E293B"/>
          <w:lang w:val="es-VE"/>
        </w:rPr>
        <w:t xml:space="preserve"> = Responsable de ejecución · </w:t>
      </w:r>
      <w:r w:rsidRPr="0032691E">
        <w:rPr>
          <w:rFonts w:ascii="Calibri" w:hAnsi="Calibri"/>
          <w:b/>
          <w:color w:val="1E293B"/>
          <w:lang w:val="es-VE"/>
        </w:rPr>
        <w:t>A</w:t>
      </w:r>
      <w:r w:rsidRPr="0032691E">
        <w:rPr>
          <w:rFonts w:ascii="Calibri" w:hAnsi="Calibri"/>
          <w:color w:val="1E293B"/>
          <w:lang w:val="es-VE"/>
        </w:rPr>
        <w:t xml:space="preserve"> = Autoridad que aprueba (Accountable) · </w:t>
      </w:r>
      <w:r w:rsidRPr="0032691E">
        <w:rPr>
          <w:rFonts w:ascii="Calibri" w:hAnsi="Calibri"/>
          <w:b/>
          <w:color w:val="1E293B"/>
          <w:lang w:val="es-VE"/>
        </w:rPr>
        <w:t>C</w:t>
      </w:r>
      <w:r w:rsidRPr="0032691E">
        <w:rPr>
          <w:rFonts w:ascii="Calibri" w:hAnsi="Calibri"/>
          <w:color w:val="1E293B"/>
          <w:lang w:val="es-VE"/>
        </w:rPr>
        <w:t xml:space="preserve"> = Consultado · </w:t>
      </w:r>
      <w:r w:rsidRPr="0032691E">
        <w:rPr>
          <w:rFonts w:ascii="Calibri" w:hAnsi="Calibri"/>
          <w:b/>
          <w:color w:val="1E293B"/>
          <w:lang w:val="es-VE"/>
        </w:rPr>
        <w:t>I</w:t>
      </w:r>
      <w:r w:rsidRPr="0032691E">
        <w:rPr>
          <w:rFonts w:ascii="Calibri" w:hAnsi="Calibri"/>
          <w:color w:val="1E293B"/>
          <w:lang w:val="es-VE"/>
        </w:rPr>
        <w:t xml:space="preserve"> = Informado.</w:t>
      </w:r>
    </w:p>
    <w:p w14:paraId="0E252AF8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42EE34D9" w14:textId="77777777" w:rsidR="00970AF7" w:rsidRPr="0032691E" w:rsidRDefault="00000000">
      <w:pPr>
        <w:spacing w:before="240" w:after="80"/>
        <w:rPr>
          <w:lang w:val="es-VE"/>
        </w:rPr>
      </w:pPr>
      <w:r w:rsidRPr="0032691E">
        <w:rPr>
          <w:rFonts w:ascii="Calibri" w:hAnsi="Calibri"/>
          <w:b/>
          <w:color w:val="004488"/>
          <w:sz w:val="30"/>
          <w:lang w:val="es-VE"/>
        </w:rPr>
        <w:t>⚠</w:t>
      </w:r>
      <w:r>
        <w:rPr>
          <w:rFonts w:ascii="Calibri" w:hAnsi="Calibri"/>
          <w:b/>
          <w:color w:val="004488"/>
          <w:sz w:val="30"/>
        </w:rPr>
        <w:t>️</w:t>
      </w:r>
      <w:r w:rsidRPr="0032691E">
        <w:rPr>
          <w:rFonts w:ascii="Calibri" w:hAnsi="Calibri"/>
          <w:b/>
          <w:color w:val="004488"/>
          <w:sz w:val="30"/>
          <w:lang w:val="es-VE"/>
        </w:rPr>
        <w:t xml:space="preserve"> 9. GESTIÓN DE INCUMPLIMIENTOS Y CONTROL DE ERRORES</w:t>
      </w:r>
    </w:p>
    <w:p w14:paraId="476E50FB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1. </w:t>
      </w:r>
      <w:r w:rsidRPr="0032691E">
        <w:rPr>
          <w:rFonts w:ascii="Calibri" w:hAnsi="Calibri"/>
          <w:b/>
          <w:color w:val="1E293B"/>
          <w:lang w:val="es-VE"/>
        </w:rPr>
        <w:t>Alteración No Autorizada de Topología CND:</w:t>
      </w:r>
      <w:r w:rsidRPr="0032691E">
        <w:rPr>
          <w:rFonts w:ascii="Calibri" w:hAnsi="Calibri"/>
          <w:color w:val="1E293B"/>
          <w:lang w:val="es-VE"/>
        </w:rPr>
        <w:t xml:space="preserve"> Queda terminantemente prohibido alterar coordenadas murales o geometrías de tramos sin la validación previa del Despacho Nacional CND.</w:t>
      </w:r>
    </w:p>
    <w:p w14:paraId="6E259974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lastRenderedPageBreak/>
        <w:t xml:space="preserve">2. </w:t>
      </w:r>
      <w:r w:rsidRPr="0032691E">
        <w:rPr>
          <w:rFonts w:ascii="Calibri" w:hAnsi="Calibri"/>
          <w:b/>
          <w:color w:val="1E293B"/>
          <w:lang w:val="es-VE"/>
        </w:rPr>
        <w:t>Uso de Colores Fuera de Norma:</w:t>
      </w:r>
      <w:r w:rsidRPr="0032691E">
        <w:rPr>
          <w:rFonts w:ascii="Calibri" w:hAnsi="Calibri"/>
          <w:color w:val="1E293B"/>
          <w:lang w:val="es-VE"/>
        </w:rPr>
        <w:t xml:space="preserve"> No se admitirá la personalización ad-hoc de colores de tensión. Todo reporte debe regirse estrictamente por la paleta CND (765 naranja, 400 verde, 230 rojo, 138 magenta, 115 azul/celeste, 69 negro/plata).</w:t>
      </w:r>
    </w:p>
    <w:p w14:paraId="337CE30A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3. </w:t>
      </w:r>
      <w:r w:rsidRPr="0032691E">
        <w:rPr>
          <w:rFonts w:ascii="Calibri" w:hAnsi="Calibri"/>
          <w:b/>
          <w:color w:val="1E293B"/>
          <w:lang w:val="es-VE"/>
        </w:rPr>
        <w:t>Discrepancia en Balances Energéticos:</w:t>
      </w:r>
      <w:r w:rsidRPr="0032691E">
        <w:rPr>
          <w:rFonts w:ascii="Calibri" w:hAnsi="Calibri"/>
          <w:color w:val="1E293B"/>
          <w:lang w:val="es-VE"/>
        </w:rPr>
        <w:t xml:space="preserve"> Si se detecta disparidad en la capacidad reportada de una central hidroeléctrica frente a las bitácoras de sala de máquinas, el evento será elevado a la Gerencia General de Planificación para auditoría forense inmediata bajo ISO 8000-110.</w:t>
      </w:r>
    </w:p>
    <w:p w14:paraId="591EBFB0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0BACA09A" w14:textId="77777777" w:rsidR="00970AF7" w:rsidRPr="0032691E" w:rsidRDefault="00000000">
      <w:pPr>
        <w:spacing w:before="240" w:after="80"/>
        <w:rPr>
          <w:lang w:val="es-VE"/>
        </w:rPr>
      </w:pPr>
      <w:r>
        <w:rPr>
          <w:rFonts w:ascii="Calibri" w:hAnsi="Calibri"/>
          <w:b/>
          <w:color w:val="004488"/>
          <w:sz w:val="30"/>
        </w:rPr>
        <w:t>🗄️</w:t>
      </w:r>
      <w:r w:rsidRPr="0032691E">
        <w:rPr>
          <w:rFonts w:ascii="Calibri" w:hAnsi="Calibri"/>
          <w:b/>
          <w:color w:val="004488"/>
          <w:sz w:val="30"/>
          <w:lang w:val="es-VE"/>
        </w:rPr>
        <w:t xml:space="preserve"> 10. CONTROL DE REGISTROS Y TRAZABILIDAD (ISO 27001)</w:t>
      </w:r>
    </w:p>
    <w:p w14:paraId="7899E95E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Persistencia PostgreSQL Inmutable:</w:t>
      </w:r>
      <w:r w:rsidRPr="0032691E">
        <w:rPr>
          <w:rFonts w:ascii="Calibri" w:hAnsi="Calibri"/>
          <w:color w:val="1E293B"/>
          <w:lang w:val="es-VE"/>
        </w:rPr>
        <w:t xml:space="preserve"> Todas las tablas de topología (`cnd_subestaciones`, `cnd_barras`, `cnd_lineas_tramos`, `cnd_generacion`, `cnd_transformadores`, `cnd_compensacion_reactiva`) se resguardan con claves foráneas e integridad referencial en PostgreSQL 18 local.</w:t>
      </w:r>
    </w:p>
    <w:p w14:paraId="439AA88B" w14:textId="77777777" w:rsidR="00970AF7" w:rsidRPr="0032691E" w:rsidRDefault="00000000">
      <w:pPr>
        <w:pStyle w:val="Listaconvietas"/>
        <w:spacing w:before="40" w:after="40"/>
        <w:rPr>
          <w:lang w:val="es-VE"/>
        </w:rPr>
      </w:pPr>
      <w:r w:rsidRPr="0032691E">
        <w:rPr>
          <w:rFonts w:ascii="Calibri" w:hAnsi="Calibri"/>
          <w:b/>
          <w:color w:val="1E293B"/>
          <w:lang w:val="es-VE"/>
        </w:rPr>
        <w:t>Tiempo de Retención Documental:</w:t>
      </w:r>
      <w:r w:rsidRPr="0032691E">
        <w:rPr>
          <w:rFonts w:ascii="Calibri" w:hAnsi="Calibri"/>
          <w:color w:val="1E293B"/>
          <w:lang w:val="es-VE"/>
        </w:rPr>
        <w:t xml:space="preserve"> Las versiones anuales del unifilar oficial del SEN se conservarán en los repositorios institucionales por un lapso mínimo ininterrumpido de </w:t>
      </w:r>
      <w:r w:rsidRPr="0032691E">
        <w:rPr>
          <w:rFonts w:ascii="Calibri" w:hAnsi="Calibri"/>
          <w:b/>
          <w:color w:val="1E293B"/>
          <w:lang w:val="es-VE"/>
        </w:rPr>
        <w:t>veinte (20) años</w:t>
      </w:r>
      <w:r w:rsidRPr="0032691E">
        <w:rPr>
          <w:rFonts w:ascii="Calibri" w:hAnsi="Calibri"/>
          <w:color w:val="1E293B"/>
          <w:lang w:val="es-VE"/>
        </w:rPr>
        <w:t>, garantizando la memoria histórica de la infraestructura eléctrica nacional.</w:t>
      </w:r>
    </w:p>
    <w:p w14:paraId="1F40BDD5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11BF45FC" w14:textId="77777777" w:rsidR="00970AF7" w:rsidRPr="0032691E" w:rsidRDefault="00000000">
      <w:pPr>
        <w:spacing w:before="240" w:after="80"/>
        <w:rPr>
          <w:lang w:val="es-VE"/>
        </w:rPr>
      </w:pPr>
      <w:r>
        <w:rPr>
          <w:rFonts w:ascii="Calibri" w:hAnsi="Calibri"/>
          <w:b/>
          <w:color w:val="004488"/>
          <w:sz w:val="30"/>
        </w:rPr>
        <w:t>📅</w:t>
      </w:r>
      <w:r w:rsidRPr="0032691E">
        <w:rPr>
          <w:rFonts w:ascii="Calibri" w:hAnsi="Calibri"/>
          <w:b/>
          <w:color w:val="004488"/>
          <w:sz w:val="30"/>
          <w:lang w:val="es-VE"/>
        </w:rPr>
        <w:t xml:space="preserve"> 11. DISPOSICIONES FINALES Y VIGENCIA</w:t>
      </w:r>
    </w:p>
    <w:p w14:paraId="71EC9176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 xml:space="preserve">1. El presente </w:t>
      </w:r>
      <w:r w:rsidRPr="0032691E">
        <w:rPr>
          <w:rFonts w:ascii="Calibri" w:hAnsi="Calibri"/>
          <w:b/>
          <w:color w:val="1E293B"/>
          <w:lang w:val="es-VE"/>
        </w:rPr>
        <w:t>Instructivo Técnico Operativo entra en vigencia a partir de su emisión en fecha 07 de Octubre de 2026</w:t>
      </w:r>
      <w:r w:rsidRPr="0032691E">
        <w:rPr>
          <w:rFonts w:ascii="Calibri" w:hAnsi="Calibri"/>
          <w:color w:val="1E293B"/>
          <w:lang w:val="es-VE"/>
        </w:rPr>
        <w:t>.</w:t>
      </w:r>
    </w:p>
    <w:p w14:paraId="1B954F8F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2. Su cumplimiento es obligatorio para todo el personal técnico de la Corporación que opere o consulte la plataforma SIGA-SEN en el puerto 3008.</w:t>
      </w:r>
    </w:p>
    <w:p w14:paraId="4A19E5CF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3. Se instruye a los despachos regionales y gerencias zonales a incorporar este documento en sus planes de adiestramiento técnico y relevo generacional.</w:t>
      </w:r>
    </w:p>
    <w:p w14:paraId="5E920D44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2413C617" w14:textId="77777777" w:rsidR="00970AF7" w:rsidRPr="0032691E" w:rsidRDefault="00000000">
      <w:pPr>
        <w:spacing w:before="240" w:after="80"/>
        <w:rPr>
          <w:lang w:val="es-VE"/>
        </w:rPr>
      </w:pPr>
      <w:r>
        <w:rPr>
          <w:rFonts w:ascii="Calibri" w:hAnsi="Calibri"/>
          <w:b/>
          <w:color w:val="004488"/>
          <w:sz w:val="30"/>
        </w:rPr>
        <w:t>📎</w:t>
      </w:r>
      <w:r w:rsidRPr="0032691E">
        <w:rPr>
          <w:rFonts w:ascii="Calibri" w:hAnsi="Calibri"/>
          <w:b/>
          <w:color w:val="004488"/>
          <w:sz w:val="30"/>
          <w:lang w:val="es-VE"/>
        </w:rPr>
        <w:t xml:space="preserve"> 12. ANEXOS: CONVENCIÓN CROMÁTICA NORMATIVA DEL SEN (CND MAYO 2025)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70AF7" w:rsidRPr="0032691E" w14:paraId="780D0E5D" w14:textId="77777777">
        <w:trPr>
          <w:jc w:val="center"/>
        </w:trPr>
        <w:tc>
          <w:tcPr>
            <w:tcW w:w="1872" w:type="dxa"/>
            <w:shd w:val="clear" w:color="auto" w:fill="003366"/>
            <w:vAlign w:val="center"/>
          </w:tcPr>
          <w:p w14:paraId="25A338C6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Tensión Nominal</w:t>
            </w:r>
          </w:p>
        </w:tc>
        <w:tc>
          <w:tcPr>
            <w:tcW w:w="1872" w:type="dxa"/>
            <w:shd w:val="clear" w:color="auto" w:fill="003366"/>
            <w:vAlign w:val="center"/>
          </w:tcPr>
          <w:p w14:paraId="01C5C44C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Código CND</w:t>
            </w:r>
          </w:p>
        </w:tc>
        <w:tc>
          <w:tcPr>
            <w:tcW w:w="1872" w:type="dxa"/>
            <w:shd w:val="clear" w:color="auto" w:fill="003366"/>
            <w:vAlign w:val="center"/>
          </w:tcPr>
          <w:p w14:paraId="1B084C36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Color Oficial (Lienzo Blanco)</w:t>
            </w:r>
          </w:p>
        </w:tc>
        <w:tc>
          <w:tcPr>
            <w:tcW w:w="1872" w:type="dxa"/>
            <w:shd w:val="clear" w:color="auto" w:fill="003366"/>
            <w:vAlign w:val="center"/>
          </w:tcPr>
          <w:p w14:paraId="28607ABA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Color Adaptativo (SCADA Oscuro)</w:t>
            </w:r>
          </w:p>
        </w:tc>
        <w:tc>
          <w:tcPr>
            <w:tcW w:w="1872" w:type="dxa"/>
            <w:shd w:val="clear" w:color="auto" w:fill="003366"/>
            <w:vAlign w:val="center"/>
          </w:tcPr>
          <w:p w14:paraId="18510A83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b/>
                <w:color w:val="FFFFFF"/>
                <w:sz w:val="20"/>
                <w:lang w:val="es-VE"/>
              </w:rPr>
              <w:t>Descripción de Función en el SEN</w:t>
            </w:r>
          </w:p>
        </w:tc>
      </w:tr>
      <w:tr w:rsidR="00970AF7" w:rsidRPr="0032691E" w14:paraId="6280404F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27ED10A1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765 kV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CA3BA4B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`765KV`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02EA5DD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`#D97706` / `#FFA100`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89DE839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`#FFA100` (Naranja Neón)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CE2C3D9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color w:val="334155"/>
                <w:sz w:val="19"/>
                <w:lang w:val="es-VE"/>
              </w:rPr>
              <w:t>Troncal Extra Alta Tensión Caroní - Centro (Guri a La Horqueta / La Arenosa)</w:t>
            </w:r>
          </w:p>
        </w:tc>
      </w:tr>
      <w:tr w:rsidR="00970AF7" w:rsidRPr="0032691E" w14:paraId="311EEC41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6D3006CA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400 kV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66816965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`400KV`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0DB524D5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`#16A34A` / `#00C700`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7952AA62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`#00C700` (Verde Eléctrico)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735F7BD7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color w:val="334155"/>
                <w:sz w:val="19"/>
                <w:lang w:val="es-VE"/>
              </w:rPr>
              <w:t xml:space="preserve">Anillo de Transmisión Troncal Nacional (Guri, </w:t>
            </w:r>
            <w:r w:rsidRPr="0032691E">
              <w:rPr>
                <w:rFonts w:ascii="Calibri" w:hAnsi="Calibri"/>
                <w:color w:val="334155"/>
                <w:sz w:val="19"/>
                <w:lang w:val="es-VE"/>
              </w:rPr>
              <w:lastRenderedPageBreak/>
              <w:t>Planta Centro, Yaracuy)</w:t>
            </w:r>
          </w:p>
        </w:tc>
      </w:tr>
      <w:tr w:rsidR="00970AF7" w:rsidRPr="0032691E" w14:paraId="37929C10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0A5A4AEA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lastRenderedPageBreak/>
              <w:t>230 kV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4F8A98E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`230KV`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28D8F6B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`#DC2626` / `#FF0000`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BC3C5C0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`#FF0000` (Rojo Señal)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0863457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color w:val="334155"/>
                <w:sz w:val="19"/>
                <w:lang w:val="es-VE"/>
              </w:rPr>
              <w:t>Red Principal de Transmisión y Alimentación Regional Troncal</w:t>
            </w:r>
          </w:p>
        </w:tc>
      </w:tr>
      <w:tr w:rsidR="00970AF7" w:rsidRPr="0032691E" w14:paraId="442E142F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0E79DCF8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138 kV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741EDC26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`138KV`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5EF097A3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`#C026D3` / `#FF00FF`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4EF62F8A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`#FF00FF` (Fucsia Brillante)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558AAD7A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color w:val="334155"/>
                <w:sz w:val="19"/>
                <w:lang w:val="es-VE"/>
              </w:rPr>
              <w:t>Subtransmisión Regional (Sistemas Andinos y Específicos)</w:t>
            </w:r>
          </w:p>
        </w:tc>
      </w:tr>
      <w:tr w:rsidR="00970AF7" w:rsidRPr="0032691E" w14:paraId="6DC192D6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36C93A5F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115 kV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0D12C8C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`115KV`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3A6CF20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`#0038A8` / `#0000FF`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164D76A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`#38BDF8` (Celeste Eléctrico)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4A8E0B6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color w:val="334155"/>
                <w:sz w:val="19"/>
                <w:lang w:val="es-VE"/>
              </w:rPr>
              <w:t>Red Principal de Subtransmisión y Entrega a Distribución</w:t>
            </w:r>
          </w:p>
        </w:tc>
      </w:tr>
      <w:tr w:rsidR="00970AF7" w:rsidRPr="0032691E" w14:paraId="07A76CD6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362B0B16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69 kV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2C5521D6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`69KV`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58FFD639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`#000000` (Negro Puro)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69CA2D7C" w14:textId="77777777" w:rsidR="00970AF7" w:rsidRDefault="00000000"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`#E2E8F0` (Plata Titanio)</w:t>
            </w:r>
          </w:p>
        </w:tc>
        <w:tc>
          <w:tcPr>
            <w:tcW w:w="1872" w:type="dxa"/>
            <w:shd w:val="clear" w:color="auto" w:fill="F8FAFC"/>
            <w:vAlign w:val="center"/>
          </w:tcPr>
          <w:p w14:paraId="0C3FD3A7" w14:textId="77777777" w:rsidR="00970AF7" w:rsidRPr="0032691E" w:rsidRDefault="00000000">
            <w:pPr>
              <w:spacing w:before="60" w:after="60"/>
              <w:rPr>
                <w:lang w:val="es-VE"/>
              </w:rPr>
            </w:pPr>
            <w:r w:rsidRPr="0032691E">
              <w:rPr>
                <w:rFonts w:ascii="Calibri" w:hAnsi="Calibri"/>
                <w:color w:val="334155"/>
                <w:sz w:val="19"/>
                <w:lang w:val="es-VE"/>
              </w:rPr>
              <w:t>Subtransmisión Secundaria / Anillo Metropolitano Caracas</w:t>
            </w:r>
          </w:p>
        </w:tc>
      </w:tr>
    </w:tbl>
    <w:p w14:paraId="3D0705F0" w14:textId="77777777" w:rsidR="00970AF7" w:rsidRPr="0032691E" w:rsidRDefault="00970AF7">
      <w:pPr>
        <w:rPr>
          <w:lang w:val="es-VE"/>
        </w:rPr>
      </w:pPr>
    </w:p>
    <w:p w14:paraId="517BAADE" w14:textId="77777777" w:rsidR="00970AF7" w:rsidRPr="0032691E" w:rsidRDefault="00000000">
      <w:pPr>
        <w:spacing w:before="120" w:after="120"/>
        <w:rPr>
          <w:lang w:val="es-VE"/>
        </w:rPr>
      </w:pPr>
      <w:r w:rsidRPr="0032691E">
        <w:rPr>
          <w:color w:val="CBD5E1"/>
          <w:sz w:val="16"/>
          <w:lang w:val="es-VE"/>
        </w:rPr>
        <w:t>_________________________________________________________________________________</w:t>
      </w:r>
    </w:p>
    <w:p w14:paraId="1056E8F5" w14:textId="77777777" w:rsidR="00970AF7" w:rsidRPr="0032691E" w:rsidRDefault="00000000">
      <w:pPr>
        <w:spacing w:before="60" w:after="80"/>
        <w:rPr>
          <w:lang w:val="es-VE"/>
        </w:rPr>
      </w:pPr>
      <w:r w:rsidRPr="0032691E">
        <w:rPr>
          <w:rFonts w:ascii="Calibri" w:hAnsi="Calibri"/>
          <w:color w:val="1E293B"/>
          <w:lang w:val="es-VE"/>
        </w:rPr>
        <w:t>*Fin del Documento Institucional — Código Oficial: `NAC_2026_GGPD_INS_OPERATIVO_SIGA_SEN_V01.md` / `GGPD-SGM-INS-008 (v1.0 ISO)`*</w:t>
      </w:r>
    </w:p>
    <w:sectPr w:rsidR="00970AF7" w:rsidRPr="0032691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108712">
    <w:abstractNumId w:val="8"/>
  </w:num>
  <w:num w:numId="2" w16cid:durableId="2146972508">
    <w:abstractNumId w:val="6"/>
  </w:num>
  <w:num w:numId="3" w16cid:durableId="570114800">
    <w:abstractNumId w:val="5"/>
  </w:num>
  <w:num w:numId="4" w16cid:durableId="1013652052">
    <w:abstractNumId w:val="4"/>
  </w:num>
  <w:num w:numId="5" w16cid:durableId="398401467">
    <w:abstractNumId w:val="7"/>
  </w:num>
  <w:num w:numId="6" w16cid:durableId="74939954">
    <w:abstractNumId w:val="3"/>
  </w:num>
  <w:num w:numId="7" w16cid:durableId="152531005">
    <w:abstractNumId w:val="2"/>
  </w:num>
  <w:num w:numId="8" w16cid:durableId="861436735">
    <w:abstractNumId w:val="1"/>
  </w:num>
  <w:num w:numId="9" w16cid:durableId="65549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91E"/>
    <w:rsid w:val="00326F90"/>
    <w:rsid w:val="00965610"/>
    <w:rsid w:val="00970A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0D4B993-5215-4F55-897E-B286722A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4802</Words>
  <Characters>26415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Dpto. Nacional Innovación</cp:lastModifiedBy>
  <cp:revision>2</cp:revision>
  <dcterms:created xsi:type="dcterms:W3CDTF">2013-12-23T23:15:00Z</dcterms:created>
  <dcterms:modified xsi:type="dcterms:W3CDTF">2026-10-09T14:54:00Z</dcterms:modified>
  <cp:category/>
</cp:coreProperties>
</file>