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002B49"/>
          <w:sz w:val="32"/>
          <w:szCs w:val="32"/>
        </w:rPr>
        <w:t xml:space="preserve">MAPA DE INTERCONEXIÓN, SOLAPAMIENTOS Y BRECHAS DE PROCESOS OPERACIONALES</w:t>
      </w: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EVALUACIÓN SISTÉMICA DE LA REALIDAD DE CONTROL EN LA GGPD (2026)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GERENCIA GENERAL DE PLANIFICACIÓN Y DISTRIBUCIÓN — CORPOELEC</w:t>
      </w:r>
    </w:p>
    <w:p>
      <w:pPr>
        <w:pBdr>
          <w:bottom w:val="single" w:color="CBD5E1" w:sz="6" w:space="1"/>
        </w:pBdr>
        <w:spacing w:after="120" w:before="120"/>
      </w:pP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CÓDIGO NORMATIVO: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GGPD-SGM-PRC-001 v1.0 ISO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DOCUMENTO BASE: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NAC_2026_GGPD_ANALISIS_INTERCONEXION_SOLAPAMIENTOS_PROCESOS_V01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FECHA: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15 de Agosto de 2026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ALCANCE: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8 Macro-Procesos / 28 Sub-Procesos Operacionales / 1.377 Instrumentos de Control Evaluados  </w:t>
      </w:r>
    </w:p>
    <w:p>
      <w:pPr>
        <w:spacing w:after="80" w:before="60"/>
      </w:pP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NORMAS APLICADAS: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ISO 9001:2015 (Enfoque Basado en Procesos - Cláusula 4.4), ISO 55000:2014 (Gestión de Activos), ISO 8000-110 (Calidad de Datos), COBIT 2019 (Alineación y Control de Procesos TI)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🏛️ 1. RESUMEN CUANTITATIVO: ¿CUÁNTOS PROCESOS SE DETECTARON?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Del análisis exhaustivo de los 1.377 instrumentos estadales, los 8 modelos de propuesta y los formularios de rendición vigentes, se identificaron formalmente: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DIMENSIÓN DEL ECOSISTEMA OPERACIONAL                                |
+----------------------------------------------------------------------------------------------------+
| • MACRO-PROCESOS OPERACIONALES:     8 Grandes Dominios de Gestión                                  |
| • SUB-PROCESOS / ACTIVIDADES:       28 Flujos de Trabajo Identificados                             |
| • PROCESOS CON ALTO SOLAPAMIENTO:   11 Sub-procesos (Data Duplicada y Tríplice Registro)          |
| • PROCESOS "SUELTOS" (SIN CONTROL): 7 Actividades Críticas Aisladas sin Retroalimentación         |
| • PROCESOS CONECTADOS Y GOBERNADOS: 10 Flujos Sincronizados a través del Ecosistema SIGI / SEN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🗺️ 2. CATÁLOGO DE LOS 8 MACRO-PROCESOS OPERACIONALES DETECTADOS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Macro-Proceso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Sub-Procesos / Actividades Operativas Detectadas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Instrumentos de Control Utilizados en Campo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Aplicación Destino SIGI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MP-01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de Subestaciones (SE)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1.1 Inspección y Diagnóstico de SE&lt;br/&gt;1.2 Mantenimiento Mayor / Menor de Bahías&lt;br/&gt;1.3 Desmalezamiento y Limpieza de Patio&lt;br/&gt;1.4 Seguimiento de Equipos Indisponibles&lt;br/&gt;1.5 Gestión de SE Móviles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 DE MTO SE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DESMALEZAMIENTO SE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SUBESTACIONES INDISPONIBLES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SCEIN.xls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SCEIN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(:3005) &amp; SIGI Hub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MP-02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de Redes de Media Tensión (MT)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2.1 Inspección de Corredores y Circuitos&lt;br/&gt;2.2 Pica y Poda de Vegetación&lt;br/&gt;2.3 Levantamiento de Restricciones Operativas&lt;br/&gt;2.4 Plan de Atención de Restricciones&lt;br/&gt;2.5 Mantenimiento de Equipos de Maniobra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PICA Y PODA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 CIRCUITO MT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REST_OPERATIVAS_CTOS.xlsx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PLAN_ATENCION_CTOS.xlsx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Ingesta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(:3001) &amp; SCPPE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MP-03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Mantenimiento de Redes de Baja Tensión (BT)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3.1 Adecuación y Balanceo de Cargas BT&lt;br/&gt;3.2 Sustitución de Acometidas y Conductores&lt;br/&gt;3.3 Atención de Averías de Transformador BT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MTTO DE BAJA TENSIÓN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Ingesta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(:3001)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MP-04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Instalaciones de Alumbrado Público (AP)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4.1 Mantenimiento e Instalación de Luminarias&lt;br/&gt;4.2 Tasa de Falla y Reemplazo de AP&lt;br/&gt;4.3 Atención de Solicitudes Sistema 1x10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MTTO DE AP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TASA DE ALUMBRADO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1x10_Reportes.xlsx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Ingesta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(:3001)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MP-05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Gestión de Transformadores de Distribución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5.1 Diagnóstico y Desincorporación de Averías&lt;br/&gt;5.2 Instalación y Reemplazo de Transformadores&lt;br/&gt;5.3 Tasa Mensual de Falla de Transformadores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TRANSFORMADORES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TASA DE TRANSFORMADORES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&lt;br/&gt;Planes de Contingencia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SIGI Hub MDM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&amp; SCPPE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MP-06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Calidad del Servicio e Interrupciones (SCTIS)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6.1 Tiras de Interrupción de Distribución&lt;br/&gt;6.2 Balance de Energía No Suministrada (MWh)&lt;br/&gt;6.3 Análisis de Líneas y Circuitos Indisponibles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LINEAS INDISPONIBLES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SCTIS_[EDO]_[FECHA].xlsx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SCTIS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(:3002)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MP-07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Logística, Flota y Recursos Operativos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7.1 Requerimiento de Materiales (21 Familias)&lt;br/&gt;7.2 Control de Flota (Liviana, Cestas, Especiales)&lt;br/&gt;7.3 Inventario de Herramientas y Equipos&lt;br/&gt;7.4 Asignación de Cuadrillas y Talento Humano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MATERIALES REQUERIDOS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&lt;br/&gt;Hojas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VEHICULOS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CAMIONES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HERRAMIENTAS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&lt;br/&gt;Hoja 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TALENTO HUMANO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 V3.0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(:3004) &amp; SIGI Hub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MP-08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Planificación, Viáticos y Minutas (SCMTP/SCPPE)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8.1 Planes Especiales y Victorias Tempranas&lt;br/&gt;8.2 Control Presupuestario de Viáticos (SAMC)&lt;br/&gt;8.3 Minutas y Acuerdos Técnicos&lt;br/&gt;8.4 Informes Mensuales de Rendición de Cuentas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VICTORIAS_TEMPRANAS.xlsx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005 INFORME DE GESTIÓN.docx 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&lt;br/&gt;</w:t>
            </w: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 MEMOS_METAS_2026.pdf 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SCMTP V2.0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(:3003) &amp; </w:t>
            </w: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SCPPE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(:3004)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🔄 3. MAPA DE INTERCONEXIÓN, SOLAPAMIENTOS Y PUNTOS CIEGOS (DIAGRAMA)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graph TD
    subgraph "POOL 1: MANTENIMIENTO DE ACTIVOS ELÉCTRICOS (CAMPO)"
        P1_1["MP-01 Subestaciones (SE)&lt;br/&gt;(Inspección, Desmalezamiento, SCEIN)"]
        P1_2["MP-02 Media Tensión (MT)&lt;br/&gt;(Pica y Poda, Circuitos)"]
        P1_3["MP-03 Baja Tensión (BT)&lt;br/&gt;(Sectores, Acometidas)"]
        P1_4["MP-04 Alumbrado Público (AP)&lt;br/&gt;(Luminarias, 1x10)"]
    end
    subgraph "POOL 2: EL ACTIVO CRÍTICO DISPUTADO (SOLAPAMIENTO MÁXIMO)"
        P2_1{{"MP-05 Transformadores de Distribución&lt;br/&gt;⚠️ Registrado en 4 planillas distintas"}}
    end
    subgraph "POOL 3: LOGÍSTICA Y RECURSOS (GERENCIAS DE APOYO)"
        P3_1["MP-07 Recursos Operativos&lt;br/&gt;• 21 Familias Materiales&lt;br/&gt;• Flota (Cestas, Especiales)&lt;br/&gt;• Cuadrillas / Talento Humano"]
    end
    subgraph "POOL 4: CONTINUIDAD DEL SERVICIO &amp; OPERACIONES"
        P4_1["MP-06 Interrupciones (SCTIS)&lt;br/&gt;• Eventos de Falla&lt;br/&gt;• MWh No Suministrados&lt;br/&gt;• Tiras de Distribución"]
    end
    subgraph "POOL 5: GESTIÓN DIRECTIVA Y RENDICIÓN DE CUENTAS"
        P5_1["MP-08 Planificación y Rendición&lt;br/&gt;• Victorias Tempranas&lt;br/&gt;• Viáticos SAMC&lt;br/&gt;• Minutas y Tareas&lt;br/&gt;• Informes Mensuales Word"]
    end
    %% Relaciones y Solapamientos Críticos
    P1_2 -.-&gt;|"Solapamiento Causa/Efecto Desconectado"| P4_1
    P1_1 ==&gt;|"Duplicación de Falla de Transformador"| P2_1
    P1_3 ==&gt;|"Duplicación de Falla de Transformador"| P2_1
    P5_1 ==&gt;|"Duplicación como Victoria Temprana"| P2_1
    P3_1 ==&gt;|"Duplicación como Despacho de Material"| P2_1
    P3_1 -.-&gt;|"Condicionante Operativo No Sincronizado"| P1_1
    P3_1 -.-&gt;|"Condicionante Operativo No Sincronizado"| P1_2
    P4_1 -.-&gt;|"Proceso Suelto: Falla no cierra la Restricción"| P1_2
    P5_1 -.-&gt;|"Proceso Suelto: Transcripción Manual Narrativa"| P1_1
    P5_1 -.-&gt;|"Proceso Suelto: Transcripción Manual Narrativa"| P1_2
    style P2_1 fill:#ff4d4f,stroke:#b71c1c,stroke-width:3px,color:#ffffff
    style P4_1 fill:#00f2fe,stroke:#0288d1,stroke-width:2px,color:#000000
    style P3_1 fill:#f59e0b,stroke:#b45309,stroke-width:2px,color:#ffffff
    style P5_1 fill:#8b5cf6,stroke:#5b21b6,stroke-width:2px,color:#ffffff</w:t>
            </w:r>
          </w:p>
        </w:tc>
      </w:tr>
    </w:tbl>
    <w:p>
      <w:pPr>
        <w:spacing w:after="16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⚡ 4. ANÁLISIS DE CAUSA RAÍZ: SOLAPAMIENTOS Y PROCESOS SUELTOS</w:t>
      </w: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🔴 4.1. El Caso Emblemático de Solapamiento: El "Transformador Fantasma"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El análisis reveló que el ciclo de vida de un transformador de distribución se encuentra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fragmentado y duplicado en 4 instrumentos desconectados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 Mantenimiento de Redes: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reporta en la hoja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TRANSFORMADORES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como "Reemplazo por avería".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 Materiales y Almacén: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reporta en la hoja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MATERIALES REQUERIDOS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bajo la familia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02 TRANSFORMADORES Y ACCESORIOS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 Victorias Tempranas: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reporta en el archivo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VICTORIAS TEMPRANAS.xlsx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como "Logro de gestión comunitaria".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4.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En Calidad de Servicio: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reporta en el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SCTIS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como la causa del corte de energía.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Impacto Real: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Al consolidar a nivel nacional, la Dirección General recibe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4 números diferentes para la misma operación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: el Almacén dice que despachó 100 transformadores, Victorias Tempranas reporta 140 instalados, Mantenimiento reporta 85 averiados y SCTIS registra 60 eventos de falla.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Ninguno de los 4 instrumentos comparte una clave única de activo (TAG / Serial).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🟡 4.2. Procesos "Atados" pero Ingobernables (Fricción de Recursos)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En los formularios borrador 2026 se intentó "atar" en una sola hoja la actividad técnica con los recursos: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ACTIVIDAD: PICA Y PODA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➔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CAMIÓN ASOCIADO: UNICESTA PLACA X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➔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MATERIAL: MOTOSIERRA / COMBUSTIBLE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➔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ESTATUS: CON RECURSO / SIN RECURSO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&gt;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Por qué no se puede controlar: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flota de vehículos y los almacenes de combustible dependen de la Gerencia de Bienes y Servicios y de Logística, no del Coordinador de Distribución. Al obligar al ingeniero de líneas a reportar el estatus administrativo de la flota en la misma celda donde reporta los metros de ramas cortadas, el instrumento colapsa por falta de información de soporte.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3"/>
        <w:spacing w:after="80" w:before="160"/>
      </w:pPr>
      <w:r>
        <w:rPr>
          <w:rFonts w:ascii="Calibri" w:cs="Calibri" w:eastAsia="Calibri" w:hAnsi="Calibri"/>
          <w:b/>
          <w:bCs/>
          <w:color w:val="1E293B"/>
          <w:sz w:val="22"/>
          <w:szCs w:val="22"/>
        </w:rPr>
        <w:t xml:space="preserve">⚪ 4.3. Procesos "Sueltos" (Islas sin Retroalimentación)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Pica y Poda vs. Restricciones de Circuito: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 podan 50 km en el Circuito El Placer (Miranda), pero en la planilla de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RESTRICCIONES OPERATIVAS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el circuito sigue marcado como "Restringido por maleza" durante 3 meses más porque la planilla de restricciones la actualiza otra unidad.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Informes de Gestión en Word (.docx):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Cada mes, los 24 estados redactan informes narrativos en Word. Los analistas toman los números del Excel y los transcriben a mano en tablas de Word. Esta transcripción manual introduce entre un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12% y un 18% de error tipográfico humano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entre lo reportado en Excel y lo presentado a la Junta Directiva.</w:t>
      </w: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🎯 5. ALINEACIÓN CON EL MANUAL DE ORGANIZACIÓN Y MÉTODOS (O&amp;M)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Para que la Gerencia General y la unidad de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Organización y Métodos (O&amp;M)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validen este diagnóstico, la reestructuración del SIGI establece las siguientes fronteras de proceso claras: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00F2FE" w:sz="4"/>
              <w:left w:val="single" w:color="00F2FE" w:sz="16"/>
              <w:bottom w:val="single" w:color="00F2FE" w:sz="4"/>
              <w:right w:val="single" w:color="00F2FE" w:sz="4"/>
            </w:tcBorders>
            <w:shd w:fill="0F172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onsolas" w:cs="Consolas" w:eastAsia="Consolas" w:hAnsi="Consolas"/>
                <w:color w:val="E2E8F0"/>
                <w:sz w:val="18"/>
                <w:szCs w:val="18"/>
              </w:rPr>
              <w:t xml:space="preserve">+----------------------------------------------------------------------------------------------------+
|                                MATRIZ DE REORDENAMIENTO DE PROCESOS (O&amp;M)                          |
+----------------------------------------------------------------------------------------------------+</w:t>
            </w:r>
          </w:p>
        </w:tc>
      </w:tr>
    </w:tbl>
    <w:p>
      <w:pPr>
        <w:spacing w:after="16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autofit"/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Proceso O&amp;M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Problema Actual en los Instrumentos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02B49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Solución Arquitectónica SIGI (Norma ISO 9001)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Control de Activos del SEN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Cada estado tiene su propia lista estática de 871 SE y 4.207 Circuitos.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Master Data Management (MDM):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Catálogo centralizado en Supabase/PostgreSQL.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Planificación del Mantenimiento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5 formularios Excel separados con 24 pestañas cada uno.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Módulo de Ingesta Unificado: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Un solo punto de entrada con validación de esquema DDL.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Ejecución y Despacho de Materiales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Se reportan precios en Euros y cantidades estimadas en celdas de texto.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Catálogo de Materiales Normalizado: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21 familias, 765 items y precios de referencia en base de datos.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Monitoreo de Indicadores (KGI/KPI)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Cálculos manuales y filas de "TOTAL" dentro de la data transaccional.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Dashboards Automatizados: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El sistema calcula SAIDI, SAIFI, OTQR y % de avance sin tocar la data cruda.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Rendición de Cuentas Directiva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24 documentos de Word redactados manualmente a fin de mes.</w:t>
            </w:r>
          </w:p>
        </w:tc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80" w:before="8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2B49"/>
                <w:sz w:val="20"/>
                <w:szCs w:val="20"/>
              </w:rPr>
              <w:t xml:space="preserve">Generador Automático de Informes:</w:t>
            </w:r>
            <w:r>
              <w:rPr>
                <w:rFonts w:ascii="Calibri" w:cs="Calibri" w:eastAsia="Calibri" w:hAnsi="Calibri"/>
                <w:b w:val="false"/>
                <w:bCs w:val="false"/>
                <w:color w:val="1E293B"/>
                <w:sz w:val="20"/>
                <w:szCs w:val="20"/>
              </w:rPr>
              <w:t xml:space="preserve"> Exportación ejecutiva de 1 clic desde la data validada.</w:t>
            </w:r>
          </w:p>
        </w:tc>
      </w:tr>
    </w:tbl>
    <w:p>
      <w:pPr>
        <w:spacing w:after="180"/>
      </w:pPr>
    </w:p>
    <w:p>
      <w:pPr>
        <w:pBdr>
          <w:bottom w:val="single" w:color="CBD5E1" w:sz="6" w:space="1"/>
        </w:pBdr>
        <w:spacing w:after="120" w:before="120"/>
      </w:pPr>
    </w:p>
    <w:p>
      <w:pPr>
        <w:pStyle w:val="Heading2"/>
        <w:spacing w:after="100" w:before="200"/>
      </w:pPr>
      <w:r>
        <w:rPr>
          <w:rFonts w:ascii="Calibri" w:cs="Calibri" w:eastAsia="Calibri" w:hAnsi="Calibri"/>
          <w:b/>
          <w:bCs/>
          <w:color w:val="004488"/>
          <w:sz w:val="26"/>
          <w:szCs w:val="26"/>
        </w:rPr>
        <w:t xml:space="preserve">💡 6. DICTAMEN TÉCNICO Y RECOMENDACIÓN PARA EL COMITÉ DIRECTIVO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Reconocimiento Estructural: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La organización actual en campo refleja una necesidad genuina de control, pero los instrumentos de hoja de cálculo utilizados han sobrepasado su límite de escalabilidad.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Desacoplamiento Operativo: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Separar el registro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física de la red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(mantenimiento y averías) del registro de la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logística administrativa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(combustible, flota, viáticos), interconectándolos únicamente mediante IDs relacionales (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UUID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COD_ESTADO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0F172A"/>
          <w:sz w:val="18"/>
          <w:szCs w:val="18"/>
        </w:rPr>
        <w:t xml:space="preserve"> ID_ACTIVO 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).</w:t>
      </w:r>
    </w:p>
    <w:p>
      <w:pPr>
        <w:spacing w:after="80" w:before="60"/>
      </w:pP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Implantación del Ecosistema Integrado: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 Oficializar las 4 aplicaciones maestras satélites (SCTIS, SCEIN, SCPPE, SCMTP) alimentadas por el Hub de Ingesta Inteligente del SIGI como el </w:t>
      </w:r>
      <w:r>
        <w:rPr>
          <w:rFonts w:ascii="Calibri" w:cs="Calibri" w:eastAsia="Calibri" w:hAnsi="Calibri"/>
          <w:b/>
          <w:bCs/>
          <w:color w:val="002B49"/>
          <w:sz w:val="20"/>
          <w:szCs w:val="20"/>
        </w:rPr>
        <w:t xml:space="preserve">único canal corporativo de captura de datos de distribución</w:t>
      </w:r>
      <w:r>
        <w:rPr>
          <w:rFonts w:ascii="Calibri" w:cs="Calibri" w:eastAsia="Calibri" w:hAnsi="Calibri"/>
          <w:b w:val="false"/>
          <w:bCs w:val="false"/>
          <w:color w:val="1E293B"/>
          <w:sz w:val="20"/>
          <w:szCs w:val="20"/>
        </w:rPr>
        <w:t xml:space="preserve">.</w:t>
      </w:r>
    </w:p>
    <w:sectPr>
      <w:headerReference w:type="default" r:id="rId7"/>
      <w:footerReference w:type="default" r:id="rId8"/>
      <w:pgSz w:w="12240" w:h="15840" w:orient="landscape"/>
      <w:pgMar w:top="864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70%"/>
          <w:tcBorders>
            <w:top w:val="single" w:color="CBD5E1" w:sz="4"/>
          </w:tcBorders>
        </w:tcPr>
        <w:p>
          <w:r>
            <w:rPr>
              <w:color w:val="64748B"/>
              <w:sz w:val="16"/>
              <w:szCs w:val="16"/>
            </w:rPr>
            <w:t xml:space="preserve">CONFIDENCIAL · Cumplimiento ISO/IEC 27001:2022 &amp; COBIT 2019 · República Bolivariana de Venezuela</w:t>
          </w:r>
        </w:p>
      </w:tc>
      <w:tc>
        <w:tcPr>
          <w:tcW w:type="pct" w:w="30%"/>
          <w:tcBorders>
            <w:top w:val="single" w:color="CBD5E1" w:sz="4"/>
          </w:tcBorders>
        </w:tcPr>
        <w:p>
          <w:pPr>
            <w:jc w:val="right"/>
          </w:pPr>
          <w:r>
            <w:rPr>
              <w:color w:val="64748B"/>
              <w:sz w:val="16"/>
              <w:szCs w:val="16"/>
            </w:rPr>
            <w:t xml:space="preserve">Página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64748B"/>
              <w:sz w:val="16"/>
              <w:szCs w:val="16"/>
            </w:rPr>
            <w:t xml:space="preserve"> de </w:t>
          </w:r>
          <w:r>
            <w:rPr>
              <w:b/>
              <w:bCs/>
              <w:color w:val="002B49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100"/>
      <w:gridCol w:w="100"/>
    </w:tblGrid>
    <w:tr>
      <w:tc>
        <w:tcPr>
          <w:tcW w:type="pct" w:w="60%"/>
          <w:tcBorders>
            <w:bottom w:val="single" w:color="002B49" w:sz="6"/>
          </w:tcBorders>
        </w:tcPr>
        <w:p>
          <w:r>
            <w:rPr>
              <w:b/>
              <w:bCs/>
              <w:color w:val="002B49"/>
              <w:sz w:val="18"/>
              <w:szCs w:val="18"/>
            </w:rPr>
            <w:t xml:space="preserve">CORPOELEC · </w:t>
          </w:r>
          <w:r>
            <w:rPr>
              <w:color w:val="475569"/>
              <w:sz w:val="18"/>
              <w:szCs w:val="18"/>
            </w:rPr>
            <w:t xml:space="preserve">Gerencia General de Planificación de Distribución (GGPD)</w:t>
          </w:r>
        </w:p>
      </w:tc>
      <w:tc>
        <w:tcPr>
          <w:tcW w:type="pct" w:w="40%"/>
          <w:tcBorders>
            <w:bottom w:val="single" w:color="002B49" w:sz="6"/>
          </w:tcBorders>
        </w:tcPr>
        <w:p>
          <w:pPr>
            <w:jc w:val="right"/>
          </w:pPr>
          <w:r>
            <w:rPr>
              <w:b/>
              <w:bCs/>
              <w:color w:val="004488"/>
              <w:sz w:val="16"/>
              <w:szCs w:val="16"/>
            </w:rPr>
            <w:t xml:space="preserve">NORMA GGPD-SGM-INS-005 (v3.0 ISO)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E293B"/>
        <w:sz w:val="21"/>
        <w:szCs w:val="21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NAC_2026_GGPD_ANALISIS_INTERCONEXION_SOLAPAMIENTOS_PROCESOS_V01</dc:title>
  <dc:creator>Un-named</dc:creator>
  <dc:description>Documento Oficial CORPOELEC - GGPD bajo norma GGPD-SGM-INS-005 (v3.0 ISO)</dc:description>
  <cp:lastModifiedBy>Un-named</cp:lastModifiedBy>
  <cp:revision>1</cp:revision>
  <dcterms:created xsi:type="dcterms:W3CDTF">2026-08-16T00:23:46.557Z</dcterms:created>
  <dcterms:modified xsi:type="dcterms:W3CDTF">2026-08-16T00:23:46.557Z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