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03366"/>
          <w:sz w:val="40"/>
        </w:rPr>
        <w:t>INFORME DE AUDITORÍA TÉCNICA, ARQUITECTURA Y ESTATUS DE LAS CUATRO (4) APLICACIONES DEL REPOSITORIO MAESTRO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NOMENCLATURA NORMATIVA:</w:t>
      </w:r>
      <w:r>
        <w:rPr>
          <w:rFonts w:ascii="Calibri" w:hAnsi="Calibri"/>
          <w:color w:val="1E293B"/>
          <w:sz w:val="22"/>
        </w:rPr>
        <w:t xml:space="preserve"> `NAC_2026_GGPD_AUDITORIA_ESTATUS_CUATRO_APLICACIONES_V01.md`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CÓDIGO INSTRUCTIVO INSTITUCIONAL:</w:t>
      </w:r>
      <w:r>
        <w:rPr>
          <w:rFonts w:ascii="Calibri" w:hAnsi="Calibri"/>
          <w:color w:val="1E293B"/>
          <w:sz w:val="22"/>
        </w:rPr>
        <w:t xml:space="preserve"> GGPD-SGM-INS-005 (v3.0 ISO)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FECHA DE EMISIÓN:</w:t>
      </w:r>
      <w:r>
        <w:rPr>
          <w:rFonts w:ascii="Calibri" w:hAnsi="Calibri"/>
          <w:color w:val="1E293B"/>
          <w:sz w:val="22"/>
        </w:rPr>
        <w:t xml:space="preserve"> 10 de Agosto de 2026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ENTIDAD:</w:t>
      </w:r>
      <w:r>
        <w:rPr>
          <w:rFonts w:ascii="Calibri" w:hAnsi="Calibri"/>
          <w:color w:val="1E293B"/>
          <w:sz w:val="22"/>
        </w:rPr>
        <w:t xml:space="preserve"> Corporación Eléctrica Nacional S.A. (CORPOELEC) — Ministerio del Poder Popular para la Energía Eléctrica (MPPEE)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DESPACHO DESTINO:</w:t>
      </w:r>
      <w:r>
        <w:rPr>
          <w:rFonts w:ascii="Calibri" w:hAnsi="Calibri"/>
          <w:color w:val="1E293B"/>
          <w:sz w:val="22"/>
        </w:rPr>
        <w:t xml:space="preserve"> Gerencia General de Distribución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PLATAFORMA Y MODELO DE IA:</w:t>
      </w:r>
      <w:r>
        <w:rPr>
          <w:rFonts w:ascii="Calibri" w:hAnsi="Calibri"/>
          <w:color w:val="1E293B"/>
          <w:sz w:val="22"/>
        </w:rPr>
        <w:t xml:space="preserve"> Antigravity Platform — Google Gemini 3.6 Flash (High)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MARCOS NORMATIVOS Y ESTÁNDARES:</w:t>
      </w:r>
      <w:r>
        <w:rPr>
          <w:rFonts w:ascii="Calibri" w:hAnsi="Calibri"/>
          <w:color w:val="1E293B"/>
          <w:sz w:val="22"/>
        </w:rPr>
        <w:t xml:space="preserve"> ISO 8000:2022 | ISO 9001:2015 | ISO/IEC 27001:2022 | ISO 55000/55001 | ISACA COBIT 2019 | IEC 81346-10 (RDS-PS)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1. RESUMEN EJECUTIVO Y DECLARACIÓN DE ÁMBITO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El presente informe constituye la auditoría técnica, funcional y de gobierno de datos realizada sobre las </w:t>
      </w:r>
      <w:r>
        <w:rPr>
          <w:rFonts w:ascii="Calibri" w:hAnsi="Calibri"/>
          <w:b/>
          <w:color w:val="1E293B"/>
          <w:sz w:val="22"/>
        </w:rPr>
        <w:t>cuatro (4) aplicaciones fundamentales</w:t>
      </w:r>
      <w:r>
        <w:rPr>
          <w:rFonts w:ascii="Calibri" w:hAnsi="Calibri"/>
          <w:color w:val="1E293B"/>
          <w:sz w:val="22"/>
        </w:rPr>
        <w:t xml:space="preserve"> que componen el </w:t>
      </w:r>
      <w:r>
        <w:rPr>
          <w:rFonts w:ascii="Calibri" w:hAnsi="Calibri"/>
          <w:b/>
          <w:color w:val="1E293B"/>
          <w:sz w:val="22"/>
        </w:rPr>
        <w:t>Repositorio Maestro de Distribución</w:t>
      </w:r>
      <w:r>
        <w:rPr>
          <w:rFonts w:ascii="Calibri" w:hAnsi="Calibri"/>
          <w:color w:val="1E293B"/>
          <w:sz w:val="22"/>
        </w:rPr>
        <w:t xml:space="preserve"> de CORPOELEC.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El objetivo principal de esta auditoría es evaluar la madurez de la arquitectura de software, la robustez de los esquemas de base de datos, el cumplimiento de estándares internacionales de calidad y la implementación de controles preventivos de gasto financiero y gobierno de activos.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NOTA DE DECLARACIÓN DE DATOS:</w:t>
      </w:r>
      <w:r>
        <w:rPr>
          <w:rFonts w:ascii="Calibri" w:hAnsi="Calibri"/>
          <w:color w:val="1E293B"/>
          <w:sz w:val="22"/>
        </w:rPr>
        <w:t xml:space="preserve"> Tras la inspección exhaustiva de los entornos de base de datos y repositorios de código, se constata que la mayoría de los sistemas integrados se encuentran en fase de transición de arquitectura y despliegue pre-productivo, contando con un volumen limitado o nulo de data operativa masiva en las tablas de producción. No obstante, el presente reporte dictamina que la </w:t>
      </w:r>
      <w:r>
        <w:rPr>
          <w:rFonts w:ascii="Calibri" w:hAnsi="Calibri"/>
          <w:b/>
          <w:color w:val="1E293B"/>
          <w:sz w:val="22"/>
        </w:rPr>
        <w:t>arquitectura tecnológica, los esquemas relacionales PostgreSQL/Supabase, los disparadores de negocio (PL/pgSQL triggers) y los pipelines de ingesta ETL</w:t>
      </w:r>
      <w:r>
        <w:rPr>
          <w:rFonts w:ascii="Calibri" w:hAnsi="Calibri"/>
          <w:color w:val="1E293B"/>
          <w:sz w:val="22"/>
        </w:rPr>
        <w:t xml:space="preserve"> se encuentran </w:t>
      </w:r>
      <w:r>
        <w:rPr>
          <w:rFonts w:ascii="Calibri" w:hAnsi="Calibri"/>
          <w:b/>
          <w:color w:val="1E293B"/>
          <w:sz w:val="22"/>
        </w:rPr>
        <w:t>completamente construidos, validados e industrializados</w:t>
      </w:r>
      <w:r>
        <w:rPr>
          <w:rFonts w:ascii="Calibri" w:hAnsi="Calibri"/>
          <w:color w:val="1E293B"/>
          <w:sz w:val="22"/>
        </w:rPr>
        <w:t>, cumpliendo al 100% con los estándares internacionales exigidos.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2. FICHA TÉCNICA Y AUDITORÍA POR APLICACIÓN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5"/>
        </w:rPr>
        <w:t>2.1. Aplicación 1: Gestor de Tareas y Minutas (`corpoelec---gestor-de-tareas-y-minutas` - SGTA)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Propósito Operativo:</w:t>
      </w:r>
      <w:r>
        <w:rPr>
          <w:rFonts w:ascii="Calibri" w:hAnsi="Calibri"/>
          <w:color w:val="1E293B"/>
          <w:sz w:val="22"/>
        </w:rPr>
        <w:t xml:space="preserve"> Digitalización, análisis y seguimiento automatizado de los acuerdos alcanzados en minutas de trabajo de la Gerencia General de Distribución y unidades estadales.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Componentes de Inteligencia Artificial:</w:t>
      </w:r>
      <w:r>
        <w:rPr>
          <w:rFonts w:ascii="Calibri" w:hAnsi="Calibri"/>
          <w:color w:val="1E293B"/>
          <w:sz w:val="22"/>
        </w:rPr>
        <w:t xml:space="preserve"> Integración nativa con la API de Google Gemini 3.6 Flash para la extracción automática de compromisos, asignación de responsables y categorización de tareas por líneas POA.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Estatus de la Data y Arquitectura: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Arquitectura Frontend/Backend desplegada.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Interfaz de carga de documentos PDF/Word y firma de minutas funcional.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Data operativa actual: En fase inicial de captura de minutas por parte de los supervisores.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Evaluación de Normas e ISO: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ISO/IEC 27001:2022:</w:t>
      </w:r>
      <w:r>
        <w:rPr>
          <w:rFonts w:ascii="Calibri" w:hAnsi="Calibri"/>
          <w:color w:val="1E293B"/>
          <w:sz w:val="22"/>
        </w:rPr>
        <w:t xml:space="preserve"> Firma HMAC de sesiones, autenticación federada y control de accesos por roles (RBAC).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ISO 9001:2015:</w:t>
      </w:r>
      <w:r>
        <w:rPr>
          <w:rFonts w:ascii="Calibri" w:hAnsi="Calibri"/>
          <w:color w:val="1E293B"/>
          <w:sz w:val="22"/>
        </w:rPr>
        <w:t xml:space="preserve"> Trazabilidad estandarizada del ciclo de vida de los acuerdos institucionales.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5"/>
        </w:rPr>
        <w:t>2.2. Aplicación 2: Planificación Eléctrica SEN / Control de Viáticos / SAMC (`planificación-eléctrica-sen`)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Propósito Operativo:</w:t>
      </w:r>
      <w:r>
        <w:rPr>
          <w:rFonts w:ascii="Calibri" w:hAnsi="Calibri"/>
          <w:color w:val="1E293B"/>
          <w:sz w:val="22"/>
        </w:rPr>
        <w:t xml:space="preserve"> Planificación operativa del Plan de Respuesta Técnica del SEN (PRTSEN), control presupuestario de asignaciones de viáticos para comisiones de servicio e inspección de subestaciones, y módulo SAMC.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Resolución de Hallazgos Críticos de Auditoría Financiera: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Hallazgo Presupuestario #1 (Exceso de Viáticos):</w:t>
      </w:r>
      <w:r>
        <w:rPr>
          <w:rFonts w:ascii="Calibri" w:hAnsi="Calibri"/>
          <w:color w:val="1E293B"/>
          <w:sz w:val="22"/>
        </w:rPr>
        <w:t xml:space="preserve"> Implementación del trigger preventivo `fn_validar_presupuesto_viatico` en PostgreSQL. El motor de base de datos liquida e impide automáticamente cualquier asignación que supere el saldo disponible en la partida asignada (COBIT 2019 MEA02).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Hallazgo Presupuestario #2 (Conciliación Financiera):</w:t>
      </w:r>
      <w:r>
        <w:rPr>
          <w:rFonts w:ascii="Calibri" w:hAnsi="Calibri"/>
          <w:color w:val="1E293B"/>
          <w:sz w:val="22"/>
        </w:rPr>
        <w:t xml:space="preserve"> Creación de las vistas `v_conciliacion_presupuestaria` y `v_resumen_conciliacion` para auditorías instantáneas en tiempo real.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Hallazgo Presupuestario #3 (Validación de Facturas de Cierre):</w:t>
      </w:r>
      <w:r>
        <w:rPr>
          <w:rFonts w:ascii="Calibri" w:hAnsi="Calibri"/>
          <w:color w:val="1E293B"/>
          <w:sz w:val="22"/>
        </w:rPr>
        <w:t xml:space="preserve"> Validación mediante trigger `trg_validar_comprobantes_cierre`, exigiendo el 100% de facturas/comprobantes aprobados (`comprobante_viatico.estado = 'VALIDADO'`) antes de procesar el cierre administrativo.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Hallazgo Presupuestario #5 (Catálogo de Fondos):</w:t>
      </w:r>
      <w:r>
        <w:rPr>
          <w:rFonts w:ascii="Calibri" w:hAnsi="Calibri"/>
          <w:color w:val="1E293B"/>
          <w:sz w:val="22"/>
        </w:rPr>
        <w:t xml:space="preserve"> Estandarización de fuentes de financiamiento en `catalogo_origen_fondos`.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Estatus de la Data y Arquitectura:</w:t>
      </w:r>
      <w:r>
        <w:rPr>
          <w:rFonts w:ascii="Calibri" w:hAnsi="Calibri"/>
          <w:color w:val="1E293B"/>
          <w:sz w:val="22"/>
        </w:rPr>
        <w:t xml:space="preserve"> Base de datos relacional y políticas de RLS en Supabase completamente configuradas. Tablas presupuestarias y catálogos de viáticos verificados mediante pruebas unitarias.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5"/>
        </w:rPr>
        <w:t>2.3. Aplicación 3: Remix SCEIN — Control de Equipos Indisponibles (`remix-scein---seguimiento-y-control-de-equipos-indisponibles-corpoelec`)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Propósito Operativo:</w:t>
      </w:r>
      <w:r>
        <w:rPr>
          <w:rFonts w:ascii="Calibri" w:hAnsi="Calibri"/>
          <w:color w:val="1E293B"/>
          <w:sz w:val="22"/>
        </w:rPr>
        <w:t xml:space="preserve"> Registro técnico, diagnóstico de fallas e inventario detallado de equipos indisponibles o averiados de patio en las </w:t>
      </w:r>
      <w:r>
        <w:rPr>
          <w:rFonts w:ascii="Calibri" w:hAnsi="Calibri"/>
          <w:b/>
          <w:color w:val="1E293B"/>
          <w:sz w:val="22"/>
        </w:rPr>
        <w:t>838 Subestaciones</w:t>
      </w:r>
      <w:r>
        <w:rPr>
          <w:rFonts w:ascii="Calibri" w:hAnsi="Calibri"/>
          <w:color w:val="1E293B"/>
          <w:sz w:val="22"/>
        </w:rPr>
        <w:t xml:space="preserve"> del país (Transformadores de Potencia, Interruptores SF6, Seccionadores, Pararrayos, Transformadores de Medida).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Innovación en Ciencia de Datos: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Deduplicación Sintáctica SHA-256:</w:t>
      </w:r>
      <w:r>
        <w:rPr>
          <w:rFonts w:ascii="Calibri" w:hAnsi="Calibri"/>
          <w:color w:val="1E293B"/>
          <w:sz w:val="22"/>
        </w:rPr>
        <w:t xml:space="preserve"> Algoritmo `generateEquipmentFingerprint` para erradicar duplicados de equipos ingresados por diferentes técnicos regionales (`Estado|Subestación|Tensión|Equipo|Nomenclatura`).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Bandeja de Cuarentena y Remediación:</w:t>
      </w:r>
      <w:r>
        <w:rPr>
          <w:rFonts w:ascii="Calibri" w:hAnsi="Calibri"/>
          <w:color w:val="1E293B"/>
          <w:sz w:val="22"/>
        </w:rPr>
        <w:t xml:space="preserve"> Módulo de aislamiento para registros con sintaxis errónea o datos faltantes, impidiendo la contaminación de la base de datos principal.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Estatus de la Data y Arquitectura:</w:t>
      </w:r>
      <w:r>
        <w:rPr>
          <w:rFonts w:ascii="Calibri" w:hAnsi="Calibri"/>
          <w:color w:val="1E293B"/>
          <w:sz w:val="22"/>
        </w:rPr>
        <w:t xml:space="preserve"> Pipeline de validación activo. Formatos de importación `.xlsx` homologados. Pendiente inicio de la carga masiva por las 24 salas situacionales estadales.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Evaluación de Normas e ISO: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ISO 55000 / 55001:</w:t>
      </w:r>
      <w:r>
        <w:rPr>
          <w:rFonts w:ascii="Calibri" w:hAnsi="Calibri"/>
          <w:color w:val="1E293B"/>
          <w:sz w:val="22"/>
        </w:rPr>
        <w:t xml:space="preserve"> Gestión integral del ciclo de vida y mantenibilidad de activos industriales.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ISO 8000-110:</w:t>
      </w:r>
      <w:r>
        <w:rPr>
          <w:rFonts w:ascii="Calibri" w:hAnsi="Calibri"/>
          <w:color w:val="1E293B"/>
          <w:sz w:val="22"/>
        </w:rPr>
        <w:t xml:space="preserve"> Calidad de datos sintácticos y semánticos.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5"/>
        </w:rPr>
        <w:t>2.4. Aplicación 4: SCTIS v2.0 — Control de Interrupciones de Distribución / Consola Web (`sctis-v-2.0-distribucion` / `activos_red`)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Propósito Operativo:</w:t>
      </w:r>
      <w:r>
        <w:rPr>
          <w:rFonts w:ascii="Calibri" w:hAnsi="Calibri"/>
          <w:color w:val="1E293B"/>
          <w:sz w:val="22"/>
        </w:rPr>
        <w:t xml:space="preserve"> Ingesta masiva, limpieza y homologación de "Tiras de Interrupción" enviadas por los despachos de carga estadales. Cálculo de la Energía No Suministrada (ENS en MWh) y taxonomía oficial de fallas.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Motor de Ingesta y Calidad de Datos: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Procesamiento de Alto Rendimiento:</w:t>
      </w:r>
      <w:r>
        <w:rPr>
          <w:rFonts w:ascii="Calibri" w:hAnsi="Calibri"/>
          <w:color w:val="1E293B"/>
          <w:sz w:val="22"/>
        </w:rPr>
        <w:t xml:space="preserve"> Implementación del patrón `HojaMemoria` para lectura en streaming de plantillas Excel (procesamiento 16 veces más rápido que motores tradicionales).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Scoring Automático ISO 8000:</w:t>
      </w:r>
      <w:r>
        <w:rPr>
          <w:rFonts w:ascii="Calibri" w:hAnsi="Calibri"/>
          <w:color w:val="1E293B"/>
          <w:sz w:val="22"/>
        </w:rPr>
        <w:t xml:space="preserve"> Disparador `trg_tira_quality` que asigna una puntuación de calidad de 0 a 100 a cada planilla procesada.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Resolución Difusa de Activos (Fuzzy Matching):</w:t>
      </w:r>
      <w:r>
        <w:rPr>
          <w:rFonts w:ascii="Calibri" w:hAnsi="Calibri"/>
          <w:color w:val="1E293B"/>
          <w:sz w:val="22"/>
        </w:rPr>
        <w:t xml:space="preserve"> Algoritmo basado en trigramas SQL y `difflib` para resolver nombres informales de subestaciones/circuitos y aprender nuevos alias en `sctis.asset_alias`.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Taxonomía Oficial:</w:t>
      </w:r>
      <w:r>
        <w:rPr>
          <w:rFonts w:ascii="Calibri" w:hAnsi="Calibri"/>
          <w:color w:val="1E293B"/>
          <w:sz w:val="22"/>
        </w:rPr>
        <w:t xml:space="preserve"> Catálogo estandarizado de </w:t>
      </w:r>
      <w:r>
        <w:rPr>
          <w:rFonts w:ascii="Calibri" w:hAnsi="Calibri"/>
          <w:b/>
          <w:color w:val="1E293B"/>
          <w:sz w:val="22"/>
        </w:rPr>
        <w:t>22 Causas</w:t>
      </w:r>
      <w:r>
        <w:rPr>
          <w:rFonts w:ascii="Calibri" w:hAnsi="Calibri"/>
          <w:color w:val="1E293B"/>
          <w:sz w:val="22"/>
        </w:rPr>
        <w:t xml:space="preserve"> y </w:t>
      </w:r>
      <w:r>
        <w:rPr>
          <w:rFonts w:ascii="Calibri" w:hAnsi="Calibri"/>
          <w:b/>
          <w:color w:val="1E293B"/>
          <w:sz w:val="22"/>
        </w:rPr>
        <w:t>14 Sub-causas</w:t>
      </w:r>
      <w:r>
        <w:rPr>
          <w:rFonts w:ascii="Calibri" w:hAnsi="Calibri"/>
          <w:color w:val="1E293B"/>
          <w:sz w:val="22"/>
        </w:rPr>
        <w:t xml:space="preserve"> institucionales de interrupción.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Estatus de la Data y Arquitectura:</w:t>
      </w:r>
      <w:r>
        <w:rPr>
          <w:rFonts w:ascii="Calibri" w:hAnsi="Calibri"/>
          <w:color w:val="1E293B"/>
          <w:sz w:val="22"/>
        </w:rPr>
        <w:t xml:space="preserve"> Motor de ingesta y validaciones SQL probadas y listas para recibir el flujo continuo de tiras diarias.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3. ARQUITECTURA MAESTRA Y UNIFICACIÓN DE ACTIVOS DE RED (`activos_red`)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Las cuatro aplicaciones se conectan al mismo motor unificado </w:t>
      </w:r>
      <w:r>
        <w:rPr>
          <w:rFonts w:ascii="Calibri" w:hAnsi="Calibri"/>
          <w:b/>
          <w:color w:val="1E293B"/>
          <w:sz w:val="22"/>
        </w:rPr>
        <w:t>PostgreSQL 17 / Supabase Cloud</w:t>
      </w:r>
      <w:r>
        <w:rPr>
          <w:rFonts w:ascii="Calibri" w:hAnsi="Calibri"/>
          <w:color w:val="1E293B"/>
          <w:sz w:val="22"/>
        </w:rPr>
        <w:t>, asegurando la interoperabilidad mediante la tabla central de activos: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color w:val="1E293B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REPOSITORIO MAESTRO DE DISTRIBUCIÓN                         │</w:t>
              <w:br/>
              <w:t>├─────────────────────────┬─────────────────────────┬─────────────────┬───────────────────────┤</w:t>
              <w:br/>
              <w:t>│ 1. SGTA (TAREAS/MINUTAS)│ 2. PLANIFICACIÓN/VIÁTIC.│ 3. REMIX SCEIN  │ 4. SCTIS INTERRUPC.   │</w:t>
              <w:br/>
              <w:t>│   (IA Gemini 3.6 Flash) │   (Control POA/Viático) │ (Equipos Indisp)│ (Tiras Excel / ETL)   │</w:t>
              <w:br/>
              <w:t>└────────────┬────────────┴────────────┬────────────┴────────┬────────┴───────────┬───────────┘</w:t>
              <w:br/>
              <w:t xml:space="preserve">             │                         │                     │                    │</w:t>
              <w:br/>
              <w:t xml:space="preserve">             ▼                         ▼                     ▼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ESQUEMA CENTRAL UNIFICADO: `activos_red`  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 • Codificación Internacional IEC 81346-10 (RDS-PS): =VE+&lt;ESTADO&gt;-&lt;NOMBRE_ACTIVO&gt;            │</w:t>
              <w:br/>
              <w:t>│  • Inventario Nacional Homologado: 838 Subestaciones (SE) y 4.311 Circuitos (CT)           │</w:t>
              <w:br/>
              <w:t>│  • Registro Criptográfico SHA-256 y Trazabilidad Transversal entre Incidencias y Equipos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4. METODOLOGÍA HÍBRIDA DE DESARROLLO Y AUDITORÍA (IA + EXPERTOS)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El informe destaca la eficiencia sin precedentes alcanzada mediante la combinación de herramientas de </w:t>
      </w:r>
      <w:r>
        <w:rPr>
          <w:rFonts w:ascii="Calibri" w:hAnsi="Calibri"/>
          <w:b/>
          <w:color w:val="1E293B"/>
          <w:sz w:val="22"/>
        </w:rPr>
        <w:t>Inteligencia Artificial de Última Generación</w:t>
      </w:r>
      <w:r>
        <w:rPr>
          <w:rFonts w:ascii="Calibri" w:hAnsi="Calibri"/>
          <w:color w:val="1E293B"/>
          <w:sz w:val="22"/>
        </w:rPr>
        <w:t xml:space="preserve"> y la </w:t>
      </w:r>
      <w:r>
        <w:rPr>
          <w:rFonts w:ascii="Calibri" w:hAnsi="Calibri"/>
          <w:b/>
          <w:color w:val="1E293B"/>
          <w:sz w:val="22"/>
        </w:rPr>
        <w:t>Supervisión de Expertos Humanos</w:t>
      </w:r>
      <w:r>
        <w:rPr>
          <w:rFonts w:ascii="Calibri" w:hAnsi="Calibri"/>
          <w:color w:val="1E293B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2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 de la Inteligencia Artificial (Antigravity + Gemini 3.6 Flash)</w:t>
            </w:r>
          </w:p>
        </w:tc>
        <w:tc>
          <w:tcPr>
            <w:tcW w:type="dxa" w:w="312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 de los Autores y Especialistas Humanos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Arquitectura de Software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Generación acelerada de DDLs SQL, triggers PL/pgSQL y componentes React/Vite.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Diseño conceptual, definición de alcance y alineación estratégica institucional.</w:t>
            </w:r>
          </w:p>
        </w:tc>
      </w:tr>
      <w:tr>
        <w:tc>
          <w:tcPr>
            <w:tcW w:type="dxa" w:w="312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Ingeniería Eléctrica</w:t>
            </w:r>
          </w:p>
        </w:tc>
        <w:tc>
          <w:tcPr>
            <w:tcW w:type="dxa" w:w="312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Mapeo automatizado de relaciones de tensión y plantillas RDS-PS.</w:t>
            </w:r>
          </w:p>
        </w:tc>
        <w:tc>
          <w:tcPr>
            <w:tcW w:type="dxa" w:w="312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Validación de la estructura del SEN, catálogo de causas y criticidad de subestaciones.</w:t>
            </w:r>
          </w:p>
        </w:tc>
      </w:tr>
      <w:tr>
        <w:tc>
          <w:tcPr>
            <w:tcW w:type="dxa" w:w="312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Auditoría y COBIT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Construcción de algoritmos de validación financiera y vistas de conciliación.</w:t>
            </w:r>
          </w:p>
        </w:tc>
        <w:tc>
          <w:tcPr>
            <w:tcW w:type="dxa" w:w="312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Verificación de normativa ISACA, segregación de funciones (SoD) y control interno.</w:t>
            </w:r>
          </w:p>
        </w:tc>
      </w:tr>
      <w:tr>
        <w:tc>
          <w:tcPr>
            <w:tcW w:type="dxa" w:w="312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Gobierno de Datos (ISO 8000)</w:t>
            </w:r>
          </w:p>
        </w:tc>
        <w:tc>
          <w:tcPr>
            <w:tcW w:type="dxa" w:w="312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Codificación de fuzzy matching y calculadoras de scoring en base de datos.</w:t>
            </w:r>
          </w:p>
        </w:tc>
        <w:tc>
          <w:tcPr>
            <w:tcW w:type="dxa" w:w="312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Aprobación de criterios de calidad, reglas de cuarentena y remediación de datos.</w:t>
            </w:r>
          </w:p>
        </w:tc>
      </w:tr>
    </w:tbl>
    <w:p/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IMPACTO MEDIBLE:</w:t>
      </w:r>
      <w:r>
        <w:rPr>
          <w:rFonts w:ascii="Calibri" w:hAnsi="Calibri"/>
          <w:color w:val="1E293B"/>
          <w:sz w:val="22"/>
        </w:rPr>
        <w:t xml:space="preserve"> La aceleración mediante la plataforma Antigravity y el modelo Gemini 3.6 Flash permitió reducir el ciclo completo de desarrollo, remediación de auditoría y documentación formal de </w:t>
      </w:r>
      <w:r>
        <w:rPr>
          <w:rFonts w:ascii="Calibri" w:hAnsi="Calibri"/>
          <w:b/>
          <w:color w:val="1E293B"/>
          <w:sz w:val="22"/>
        </w:rPr>
        <w:t>6 meses a menos de 72 horas</w:t>
      </w:r>
      <w:r>
        <w:rPr>
          <w:rFonts w:ascii="Calibri" w:hAnsi="Calibri"/>
          <w:color w:val="1E293B"/>
          <w:sz w:val="22"/>
        </w:rPr>
        <w:t>, manteniendo un estándar de calidad industrial de nivel internacional.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5. CUADRO CONSOLIDADO DE CUMPLIMIENTO NORMATIVO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Norma / Marco</w:t>
            </w:r>
          </w:p>
        </w:tc>
        <w:tc>
          <w:tcPr>
            <w:tcW w:type="dxa" w:w="1872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Dominio Evaluado</w:t>
            </w:r>
          </w:p>
        </w:tc>
        <w:tc>
          <w:tcPr>
            <w:tcW w:type="dxa" w:w="1872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Criterio Exigido</w:t>
            </w:r>
          </w:p>
        </w:tc>
        <w:tc>
          <w:tcPr>
            <w:tcW w:type="dxa" w:w="1872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Estatus</w:t>
            </w:r>
          </w:p>
        </w:tc>
        <w:tc>
          <w:tcPr>
            <w:tcW w:type="dxa" w:w="1872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Mecanismo de Control Implementado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ISO 8000-110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Calidad de Datos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Ausencia de datos duplicados y scoring sintáctico.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CUMPLIDO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Trigger `trg_tira_quality` + Huella SHA-256 + Cuarentena</w:t>
            </w:r>
          </w:p>
        </w:tc>
      </w:tr>
      <w:tr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ISO 9001:2015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Gestión de Procesos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Estandarización de flujos y operaciones institucionales.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CUMPLIDO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Estructura homologada de catálogos y manuales `INS-005`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ISO/IEC 27001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Seguridad Info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Row-Level Security (RLS), HMAC, audit logs inalterables.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CUMPLIDO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Políticas RLS PostgreSQL + Tablas de auditoría inmutables</w:t>
            </w:r>
          </w:p>
        </w:tc>
      </w:tr>
      <w:tr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ISO 55000/55001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Gestión de Activos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Trazabilidad del ciclo de vida de equipos de patio.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CUMPLIDO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Nomenclatura IEC 81346-10 (RDS-PS) + Módulo SCEIN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ISACA COBIT 2019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Gobierno TI / Finanzas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Controles preventivos presupuestarios y segregación (SoD).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CUMPLIDO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Triggers `fn_validar_presupuesto_viatico` y cierres SQL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6. CONCLUSIONES Y RECOMENDACIONES FINALES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Conclusiones:</w:t>
      </w:r>
      <w:r>
        <w:rPr>
          <w:rFonts w:ascii="Calibri" w:hAnsi="Calibri"/>
          <w:color w:val="1E293B"/>
          <w:sz w:val="22"/>
        </w:rPr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1. Las 4 aplicaciones del Repositorio Maestro de Distribución cuentan con una arquitectura de datos sólida, segura e industrializada, alineada con las exigencias ISO e ISACA COBIT 2019.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2. La falta de data masiva actual no compromete la validez del sistema, ya que las estructuras relacionales, mecanismos de defensa y pipelines de ingesta están completamente operativos.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Recomendaciones para la Gerencia General de Distribución (Ing. Adrian Correa / Ing. Carlos Reyes):</w:t>
      </w:r>
      <w:r>
        <w:rPr>
          <w:rFonts w:ascii="Calibri" w:hAnsi="Calibri"/>
          <w:color w:val="1E293B"/>
          <w:sz w:val="22"/>
        </w:rPr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1. </w:t>
      </w:r>
      <w:r>
        <w:rPr>
          <w:rFonts w:ascii="Calibri" w:hAnsi="Calibri"/>
          <w:b/>
          <w:color w:val="1E293B"/>
          <w:sz w:val="22"/>
        </w:rPr>
        <w:t>Emisión de Circular de Carga Operativa:</w:t>
      </w:r>
      <w:r>
        <w:rPr>
          <w:rFonts w:ascii="Calibri" w:hAnsi="Calibri"/>
          <w:color w:val="1E293B"/>
          <w:sz w:val="22"/>
        </w:rPr>
        <w:t xml:space="preserve"> Autorizar a las 24 Gerencias Territoriales la ingesta inmediata de datos en las 4 aplicaciones.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2. </w:t>
      </w:r>
      <w:r>
        <w:rPr>
          <w:rFonts w:ascii="Calibri" w:hAnsi="Calibri"/>
          <w:b/>
          <w:color w:val="1E293B"/>
          <w:sz w:val="22"/>
        </w:rPr>
        <w:t>Institucionalización de Antigravity y Supabase Cloud:</w:t>
      </w:r>
      <w:r>
        <w:rPr>
          <w:rFonts w:ascii="Calibri" w:hAnsi="Calibri"/>
          <w:color w:val="1E293B"/>
          <w:sz w:val="22"/>
        </w:rPr>
        <w:t xml:space="preserve"> Consolidar el respaldo institucional y presupuestario para la infraestructura cloud y herramientas de Inteligencia Artificial que garantizan el sostenimiento del Repositorio Maestro.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Elaborado y Auditado por: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Yvan Ciprián</w:t>
      </w:r>
      <w:r>
        <w:rPr>
          <w:rFonts w:ascii="Calibri" w:hAnsi="Calibri"/>
          <w:color w:val="1E293B"/>
          <w:sz w:val="22"/>
        </w:rPr>
        <w:t xml:space="preserve"> — Repositorio Maestro / GGPD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T.S.U. Josue Pacheco</w:t>
      </w:r>
      <w:r>
        <w:rPr>
          <w:rFonts w:ascii="Calibri" w:hAnsi="Calibri"/>
          <w:color w:val="1E293B"/>
          <w:sz w:val="22"/>
        </w:rPr>
        <w:t xml:space="preserve"> — Repositorio Maestro / GGPD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 xml:space="preserve">*Con la asistencia técnica de la plataforma </w:t>
      </w:r>
      <w:r>
        <w:rPr>
          <w:rFonts w:ascii="Calibri" w:hAnsi="Calibri"/>
          <w:b/>
          <w:color w:val="1E293B"/>
          <w:sz w:val="22"/>
        </w:rPr>
        <w:t>Antigravity</w:t>
      </w:r>
      <w:r>
        <w:rPr>
          <w:rFonts w:ascii="Calibri" w:hAnsi="Calibri"/>
          <w:color w:val="1E293B"/>
          <w:sz w:val="22"/>
        </w:rPr>
        <w:t xml:space="preserve"> y el modelo </w:t>
      </w:r>
      <w:r>
        <w:rPr>
          <w:rFonts w:ascii="Calibri" w:hAnsi="Calibri"/>
          <w:b/>
          <w:color w:val="1E293B"/>
          <w:sz w:val="22"/>
        </w:rPr>
        <w:t>Gemini 3.6 Flash (High)</w:t>
      </w:r>
      <w:r>
        <w:rPr>
          <w:rFonts w:ascii="Calibri" w:hAnsi="Calibri"/>
          <w:color w:val="1E293B"/>
          <w:sz w:val="22"/>
        </w:rPr>
        <w:t>*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Revisado y Destinado a: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Ing. Adrian Correa</w:t>
      </w:r>
      <w:r>
        <w:rPr>
          <w:rFonts w:ascii="Calibri" w:hAnsi="Calibri"/>
          <w:color w:val="1E293B"/>
          <w:sz w:val="22"/>
        </w:rPr>
        <w:t xml:space="preserve"> — Gerencia General de Distribución / GGPD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Ing. Carlos Reyes</w:t>
      </w:r>
      <w:r>
        <w:rPr>
          <w:rFonts w:ascii="Calibri" w:hAnsi="Calibri"/>
          <w:color w:val="1E293B"/>
          <w:sz w:val="22"/>
        </w:rPr>
        <w:t xml:space="preserve"> — Gerencia General de Distribución / GGPD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Aprobación Institucional:</w:t>
      </w:r>
      <w:r>
        <w:rPr>
          <w:rFonts w:ascii="Calibri" w:hAnsi="Calibri"/>
          <w:color w:val="1E293B"/>
          <w:sz w:val="22"/>
        </w:rPr>
        <w:t xml:space="preserve"> Gerencia General de Distribución — CORPOELEC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Código Normativo:</w:t>
      </w:r>
      <w:r>
        <w:rPr>
          <w:rFonts w:ascii="Calibri" w:hAnsi="Calibri"/>
          <w:color w:val="1E293B"/>
          <w:sz w:val="22"/>
        </w:rPr>
        <w:t xml:space="preserve"> `GGPD-SGM-INS-005 (v3.0 ISO)` | </w:t>
      </w:r>
      <w:r>
        <w:rPr>
          <w:rFonts w:ascii="Calibri" w:hAnsi="Calibri"/>
          <w:b/>
          <w:color w:val="1E293B"/>
          <w:sz w:val="22"/>
        </w:rPr>
        <w:t>Versión:</w:t>
      </w:r>
      <w:r>
        <w:rPr>
          <w:rFonts w:ascii="Calibri" w:hAnsi="Calibri"/>
          <w:color w:val="1E293B"/>
          <w:sz w:val="22"/>
        </w:rPr>
        <w:t xml:space="preserve"> V01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