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4" w:color="6D28D9"/>
        </w:pBdr>
        <w:bidi w:val="0"/>
        <w:spacing w:before="0" w:after="160"/>
        <w:ind w:hanging="0" w:start="0" w:end="0"/>
        <w:jc w:val="start"/>
        <w:rPr>
          <w:rFonts w:ascii="Calibri;Arial;sans-serif" w:hAnsi="Calibri;Arial;sans-serif"/>
          <w:color w:val="4C1D95"/>
          <w:sz w:val="44"/>
        </w:rPr>
      </w:pPr>
      <w:r>
        <w:rPr>
          <w:rFonts w:ascii="Calibri;Arial;sans-serif" w:hAnsi="Calibri;Arial;sans-serif"/>
          <w:color w:val="4C1D95"/>
          <w:sz w:val="44"/>
        </w:rPr>
        <w:t>CORPOELEC — GERENCIA DE GESTIÓN DE PLANIFICACIÓN DE DISTRIBUCIÓN (GGPD)</w:t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rFonts w:ascii="Calibri;Arial;sans-serif" w:hAnsi="Calibri;Arial;sans-serif"/>
          <w:color w:val="5B21B6"/>
          <w:sz w:val="32"/>
        </w:rPr>
      </w:pPr>
      <w:r>
        <w:rPr>
          <w:rFonts w:ascii="Calibri;Arial;sans-serif" w:hAnsi="Calibri;Arial;sans-serif"/>
          <w:color w:val="5B21B6"/>
          <w:sz w:val="32"/>
        </w:rPr>
        <w:t>DOCUMENTACIÓN DE CALIDAD, GOBIERNO DE DATOS Y GESTIÓN DOCUMENTAL</w:t>
      </w:r>
    </w:p>
    <w:p>
      <w:pPr>
        <w:pStyle w:val="BodyText"/>
        <w:bidi w:val="0"/>
        <w:spacing w:before="0" w:after="0"/>
        <w:jc w:val="start"/>
        <w:rPr/>
      </w:pPr>
      <w:r>
        <w:rPr>
          <w:rStyle w:val="Strong"/>
        </w:rPr>
        <w:t>Normativa ISO 15489-1:2016 | ISO 9001:2015 | ISO/IEC 27001:2022 | ISO 8000 (Calidad de Datos) | ISACA COBIT 2019</w:t>
      </w:r>
      <w:r>
        <w:rPr/>
        <w:t xml:space="preserve">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ÍNDICE DE LA DOCUMENTACIÓN DEL PROYECTO SCGCC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 xml:space="preserve">El presente directorio contiene la documentación técnica, funcional y operativa correspondiente al </w:t>
      </w:r>
      <w:r>
        <w:rPr>
          <w:rStyle w:val="Strong"/>
          <w:color w:val="1E293B"/>
          <w:sz w:val="21"/>
        </w:rPr>
        <w:t>SCGCC V1.0</w:t>
      </w:r>
      <w:r>
        <w:rPr>
          <w:color w:val="1E293B"/>
          <w:sz w:val="21"/>
        </w:rPr>
        <w:t xml:space="preserve"> (</w:t>
      </w:r>
      <w:r>
        <w:rPr>
          <w:rStyle w:val="Emphasis"/>
          <w:color w:val="1E293B"/>
          <w:sz w:val="21"/>
        </w:rPr>
        <w:t>Sistema de Seguimiento y Control de la Gestión de Correspondencia Corporativa</w:t>
      </w:r>
      <w:r>
        <w:rPr>
          <w:color w:val="1E293B"/>
          <w:sz w:val="21"/>
        </w:rPr>
        <w:t>) desarrollado para la Gerencia General de Gestión de Planificación de Distribución (GGPD) de CORPOELEC.</w:t>
      </w:r>
    </w:p>
    <w:tbl>
      <w:tblPr>
        <w:tblW w:w="10493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2427"/>
        <w:gridCol w:w="1460"/>
        <w:gridCol w:w="1308"/>
        <w:gridCol w:w="5298"/>
      </w:tblGrid>
      <w:tr>
        <w:trPr/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Código ISO</w:t>
            </w:r>
          </w:p>
        </w:tc>
        <w:tc>
          <w:tcPr>
            <w:tcW w:w="1460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Tipo de Documento</w:t>
            </w:r>
          </w:p>
        </w:tc>
        <w:tc>
          <w:tcPr>
            <w:tcW w:w="130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Descripción / Alcance</w:t>
            </w:r>
          </w:p>
        </w:tc>
        <w:tc>
          <w:tcPr>
            <w:tcW w:w="529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Archivo</w:t>
            </w:r>
          </w:p>
        </w:tc>
      </w:tr>
      <w:tr>
        <w:trPr/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1460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130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  <w:tc>
          <w:tcPr>
            <w:tcW w:w="529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:</w:t>
            </w:r>
          </w:p>
          <w:p>
            <w:pPr>
              <w:pStyle w:val="Lneahorizontal"/>
              <w:bidi w:val="0"/>
              <w:spacing w:before="0" w:after="283"/>
              <w:ind w:hanging="0" w:start="0" w:end="0"/>
              <w:jc w:val="start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</w:r>
          </w:p>
        </w:tc>
      </w:tr>
      <w:tr>
        <w:trPr/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GGPD-SCGCC-DOCFUN-001</w:t>
            </w:r>
          </w:p>
        </w:tc>
        <w:tc>
          <w:tcPr>
            <w:tcW w:w="1460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Informe de Avance &amp; Definición Funcional</w:t>
            </w:r>
          </w:p>
        </w:tc>
        <w:tc>
          <w:tcPr>
            <w:tcW w:w="130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Justificación institucional, matriz de prioridades por verbos rectores, custodia ISO 15489 y estado de avance solicitado vs. entregado.</w:t>
            </w:r>
          </w:p>
        </w:tc>
        <w:tc>
          <w:tcPr>
            <w:tcW w:w="529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  <w:color w:val="FFFFFF"/>
                <w:sz w:val="19"/>
              </w:rPr>
              <w:t>[</w:t>
            </w:r>
            <w:r>
              <w:rPr>
                <w:rStyle w:val="Textooriginal"/>
                <w:rFonts w:ascii="Consolas;Courier New;monospace" w:hAnsi="Consolas;Courier New;monospace"/>
                <w:b/>
                <w:color w:val="5B21B6"/>
                <w:sz w:val="17"/>
                <w:shd w:fill="EDE9FE" w:val="clear"/>
              </w:rPr>
              <w:t>SCGCC_DOCFUN_v1_Informe_Avance_Solicitantes.md</w:t>
            </w:r>
            <w:r>
              <w:rPr>
                <w:b/>
                <w:color w:val="FFFFFF"/>
                <w:sz w:val="19"/>
              </w:rPr>
              <w:t>](./SCGCC_DOCFUN_v1_Informe_Avance_Solicitantes.md)</w:t>
            </w:r>
          </w:p>
        </w:tc>
      </w:tr>
      <w:tr>
        <w:trPr/>
        <w:tc>
          <w:tcPr>
            <w:tcW w:w="2427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GGPD-SCGCC-DOCTEC-002</w:t>
            </w:r>
          </w:p>
        </w:tc>
        <w:tc>
          <w:tcPr>
            <w:tcW w:w="1460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  <w:bCs/>
                <w:color w:val="FFFFFF"/>
                <w:sz w:val="19"/>
              </w:rPr>
              <w:t>Documento Técnico &amp; Arquitectura</w:t>
            </w:r>
          </w:p>
        </w:tc>
        <w:tc>
          <w:tcPr>
            <w:tcW w:w="130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  <w:color w:val="FFFFFF"/>
                <w:sz w:val="19"/>
              </w:rPr>
              <w:t xml:space="preserve">Esquema de base de datos PostgreSQL </w:t>
            </w:r>
            <w:r>
              <w:rPr>
                <w:rStyle w:val="Textooriginal"/>
                <w:rFonts w:ascii="Consolas;Courier New;monospace" w:hAnsi="Consolas;Courier New;monospace"/>
                <w:b/>
                <w:color w:val="5B21B6"/>
                <w:sz w:val="17"/>
                <w:shd w:fill="EDE9FE" w:val="clear"/>
              </w:rPr>
              <w:t>scgcc.*</w:t>
            </w:r>
            <w:r>
              <w:rPr>
                <w:b/>
                <w:color w:val="FFFFFF"/>
                <w:sz w:val="19"/>
              </w:rPr>
              <w:t>, seguridad RBAC/RLS, integración SCMTP y API Storage.</w:t>
            </w:r>
          </w:p>
        </w:tc>
        <w:tc>
          <w:tcPr>
            <w:tcW w:w="5298" w:type="dxa"/>
            <w:tcBorders>
              <w:top w:val="single" w:sz="2" w:space="0" w:color="4C1D95"/>
              <w:start w:val="single" w:sz="2" w:space="0" w:color="4C1D95"/>
              <w:bottom w:val="single" w:sz="2" w:space="0" w:color="4C1D95"/>
              <w:end w:val="single" w:sz="2" w:space="0" w:color="4C1D95"/>
            </w:tcBorders>
            <w:shd w:fill="5B21B6" w:val="clear"/>
            <w:vAlign w:val="center"/>
          </w:tcPr>
          <w:p>
            <w:pPr>
              <w:pStyle w:val="Ttulodelatabla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b/>
                <w:color w:val="FFFFFF"/>
                <w:sz w:val="19"/>
              </w:rPr>
              <w:t>[</w:t>
            </w:r>
            <w:r>
              <w:rPr>
                <w:rStyle w:val="Textooriginal"/>
                <w:rFonts w:ascii="Consolas;Courier New;monospace" w:hAnsi="Consolas;Courier New;monospace"/>
                <w:b/>
                <w:color w:val="5B21B6"/>
                <w:sz w:val="17"/>
                <w:shd w:fill="EDE9FE" w:val="clear"/>
              </w:rPr>
              <w:t>SCGCC_DOCTEC_v1_Arquitectura_Gobernanza.md</w:t>
            </w:r>
            <w:r>
              <w:rPr>
                <w:b/>
                <w:color w:val="FFFFFF"/>
                <w:sz w:val="19"/>
              </w:rPr>
              <w:t>](./SCGCC_DOCTEC_v1_Arquitectura_Gobernanza.md)</w:t>
            </w:r>
          </w:p>
        </w:tc>
      </w:tr>
    </w:tbl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METADATOS Y CONTROL DE REVISIONES DEL DOCUMENTO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Empresa / Ente:</w:t>
      </w:r>
      <w:r>
        <w:rPr>
          <w:color w:val="1E293B"/>
          <w:sz w:val="20"/>
        </w:rPr>
        <w:t xml:space="preserve"> CORPOELEC (Corporación Eléctrica Nacional, S.A.) / MPPEE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Gerencia:</w:t>
      </w:r>
      <w:r>
        <w:rPr>
          <w:color w:val="1E293B"/>
          <w:sz w:val="20"/>
        </w:rPr>
        <w:t xml:space="preserve"> Gerencia General de Gestión de Planificación de Distribución (GGPD)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Gerente Responsable:</w:t>
      </w:r>
      <w:r>
        <w:rPr>
          <w:color w:val="1E293B"/>
          <w:sz w:val="20"/>
        </w:rPr>
        <w:t xml:space="preserve"> Ing. Adrian Correa — Gerente General GGPD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Líder de Desarrollo:</w:t>
      </w:r>
      <w:r>
        <w:rPr>
          <w:color w:val="1E293B"/>
          <w:sz w:val="20"/>
        </w:rPr>
        <w:t xml:space="preserve"> Yván M. Cipiran N. / Equipo de Automatización e Ingeniería de Productos con IA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Proyecto:</w:t>
      </w:r>
      <w:r>
        <w:rPr>
          <w:color w:val="1E293B"/>
          <w:sz w:val="20"/>
        </w:rPr>
        <w:t xml:space="preserve"> SCGCC V1.0 (Seguimiento y Control de Gestión de Correspondencia Corporativa)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Código de Proceso:</w:t>
      </w:r>
      <w:r>
        <w:rPr>
          <w:color w:val="1E293B"/>
          <w:sz w:val="20"/>
        </w:rPr>
        <w:t xml:space="preserve">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GGPD-SEC-01 • GESTIÓN DE CORRESPONDENCIA &amp; DESPACHO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Versión del Sistema:</w:t>
      </w:r>
      <w:r>
        <w:rPr>
          <w:color w:val="1E293B"/>
          <w:sz w:val="20"/>
        </w:rPr>
        <w:t xml:space="preserve"> v1.0 ISO (Build 2026.08)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Entorno de Despliegue Oficial:</w:t>
      </w:r>
      <w:r>
        <w:rPr>
          <w:color w:val="1E293B"/>
          <w:sz w:val="20"/>
        </w:rPr>
        <w:t xml:space="preserve"> [https://corpoelec-scgcc-corpoelec-ggpd-hosting-apps.vibehost.space](https://corpoelec-scgcc-corpoelec-ggpd-hosting-apps.vibehost.space)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Fecha de Emisión:</w:t>
      </w:r>
      <w:r>
        <w:rPr>
          <w:color w:val="1E293B"/>
          <w:sz w:val="20"/>
        </w:rPr>
        <w:t xml:space="preserve"> 24 de Agosto de 2026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RESUMEN EJECUTIVO PARA LOS SOLICITANTES Y LA GERENCIA GENERAL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 xml:space="preserve">El </w:t>
      </w:r>
      <w:r>
        <w:rPr>
          <w:rStyle w:val="Strong"/>
          <w:color w:val="1E293B"/>
          <w:sz w:val="21"/>
        </w:rPr>
        <w:t>SCGCC V1.0</w:t>
      </w:r>
      <w:r>
        <w:rPr>
          <w:color w:val="1E293B"/>
          <w:sz w:val="21"/>
        </w:rPr>
        <w:t xml:space="preserve"> es una plataforma de </w:t>
      </w:r>
      <w:r>
        <w:rPr>
          <w:rStyle w:val="Strong"/>
          <w:color w:val="1E293B"/>
          <w:sz w:val="21"/>
        </w:rPr>
        <w:t>Grado Industrial SEN</w:t>
      </w:r>
      <w:r>
        <w:rPr>
          <w:color w:val="1E293B"/>
          <w:sz w:val="21"/>
        </w:rPr>
        <w:t xml:space="preserve"> diseñada para garantizar que ninguna correspondencia institucional (Oficios ministeriales, memorándums, instrucciones ejecutivas o solicitudes 1x10) quede desatendida, extraviada o fuera de plazo legal.</w:t>
      </w:r>
    </w:p>
    <w:p>
      <w:pPr>
        <w:pStyle w:val="Heading4"/>
        <w:bidi w:val="0"/>
        <w:spacing w:before="160" w:after="40"/>
        <w:ind w:hanging="0" w:start="0" w:end="0"/>
        <w:jc w:val="start"/>
        <w:rPr>
          <w:rFonts w:ascii="Calibri;Arial;sans-serif" w:hAnsi="Calibri;Arial;sans-serif"/>
          <w:color w:val="475569"/>
          <w:sz w:val="23"/>
        </w:rPr>
      </w:pPr>
      <w:r>
        <w:rPr>
          <w:rFonts w:ascii="Calibri;Arial;sans-serif" w:hAnsi="Calibri;Arial;sans-serif"/>
          <w:color w:val="475569"/>
          <w:sz w:val="23"/>
        </w:rPr>
        <w:t>Pilares Fundamentales del Sistema: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t xml:space="preserve">1. </w:t>
      </w:r>
      <w:r>
        <w:rPr>
          <w:rStyle w:val="Strong"/>
        </w:rPr>
        <w:t>Triaje y Clasificación Ejecutiva por Verbos Rectores:</w:t>
      </w:r>
      <w:r>
        <w:rPr/>
        <w:t xml:space="preserve"> - Tratamiento prioritario de las instrucciones directas del Ministro y del Gerente General (Canal Preferencial con SLA de 24 a 48 horas). - Clasificación diferenciada para Evaluaciones Técnicas, Revisiones y Circulares Informativas. 2. </w:t>
      </w:r>
      <w:r>
        <w:rPr>
          <w:rStyle w:val="Strong"/>
        </w:rPr>
        <w:t>Custodia Documental Automatizada (ISO 15489):</w:t>
      </w:r>
      <w:r>
        <w:rPr/>
        <w:t xml:space="preserve"> - Nomenclatura normalizada automática (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RAD-GGPD-2026-XXXX_...pdf</w:t>
      </w:r>
      <w:r>
        <w:rPr/>
        <w:t xml:space="preserve">). - Mapeo directo a la jerarquía de carpetas institucionales de la gerencia (Entradas, Salidas, Internas, Confidenciales), eliminando la creación manual de directorios. 3. </w:t>
      </w:r>
      <w:r>
        <w:rPr>
          <w:rStyle w:val="Strong"/>
        </w:rPr>
        <w:t>Integración Bidireccional con SCMTP V2.0:</w:t>
      </w:r>
      <w:r>
        <w:rPr/>
        <w:t xml:space="preserve"> - Conversión automática de instrucciones recibidas en tareas y compromisos técnicos asignados a analistas con semáforos de seguimiento. 4. </w:t>
      </w:r>
      <w:r>
        <w:rPr>
          <w:rStyle w:val="Strong"/>
        </w:rPr>
        <w:t>Segregación de Confidencialidad y Zona Segura (ISO 27001):</w:t>
      </w:r>
      <w:r>
        <w:rPr/>
        <w:t xml:space="preserve"> - Protección estricta de documentos confidenciales para directores y gerentes, garantizando que los analistas reciban solo las órdenes de trabajo sin vulnerar información sensible. 5. </w:t>
      </w:r>
      <w:r>
        <w:rPr>
          <w:rStyle w:val="Strong"/>
        </w:rPr>
        <w:t>Trazabilidad 360° para Reuniones Ejecutivas:</w:t>
      </w:r>
      <w:r>
        <w:rPr/>
        <w:t xml:space="preserve"> - Acceso instantáneo en 3 segundos al expediente completo (Entrada $\rightarrow$ Análisis Técnico $\rightarrow$ Oficio de Respuesta Firmado $\rightarrow$ Acuse de Recibo). 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4"/>
      <w:szCs w:val="24"/>
      <w:lang w:val="es-VE" w:eastAsia="zh-CN" w:bidi="hi-IN"/>
    </w:rPr>
  </w:style>
  <w:style w:type="paragraph" w:styleId="Heading1">
    <w:name w:val="heading 1"/>
    <w:basedOn w:val="Ttulo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es-VE</dc:language>
  <cp:lastModifiedBy/>
  <cp:revision>0</cp:revision>
  <dc:subject/>
  <dc:title>DOCUMENTACION_ISO_GGPD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