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>
          <w:bottom w:val="single" w:sz="12" w:space="4" w:color="6D28D9"/>
        </w:pBdr>
        <w:bidi w:val="0"/>
        <w:spacing w:before="0" w:after="160"/>
        <w:ind w:hanging="0" w:start="0" w:end="0"/>
        <w:jc w:val="start"/>
        <w:rPr>
          <w:rFonts w:ascii="Calibri;Arial;sans-serif" w:hAnsi="Calibri;Arial;sans-serif"/>
          <w:color w:val="4C1D95"/>
          <w:sz w:val="44"/>
        </w:rPr>
      </w:pPr>
      <w:r>
        <w:rPr>
          <w:rFonts w:ascii="Calibri;Arial;sans-serif" w:hAnsi="Calibri;Arial;sans-serif"/>
          <w:color w:val="4C1D95"/>
          <w:sz w:val="44"/>
        </w:rPr>
        <w:t>CORPOELEC — GERENCIA GENERAL DE GESTIÓN DE PLANIFICACIÓN DE DISTRIBUCIÓN (GGPD)</w:t>
      </w:r>
    </w:p>
    <w:p>
      <w:pPr>
        <w:pStyle w:val="Heading2"/>
        <w:pBdr>
          <w:bottom w:val="single" w:sz="2" w:space="2" w:color="DDD6FE"/>
        </w:pBdr>
        <w:bidi w:val="0"/>
        <w:spacing w:before="280" w:after="120"/>
        <w:ind w:hanging="0" w:start="0" w:end="0"/>
        <w:jc w:val="start"/>
        <w:rPr>
          <w:rFonts w:ascii="Calibri;Arial;sans-serif" w:hAnsi="Calibri;Arial;sans-serif"/>
          <w:color w:val="5B21B6"/>
          <w:sz w:val="32"/>
        </w:rPr>
      </w:pPr>
      <w:r>
        <w:rPr>
          <w:rFonts w:ascii="Calibri;Arial;sans-serif" w:hAnsi="Calibri;Arial;sans-serif"/>
          <w:color w:val="5B21B6"/>
          <w:sz w:val="32"/>
        </w:rPr>
        <w:t>INFORME DE AVANCE Y DEFINICIÓN FUNCIONAL DE SISTEMA</w:t>
      </w:r>
    </w:p>
    <w:p>
      <w:pPr>
        <w:pStyle w:val="Heading3"/>
        <w:bidi w:val="0"/>
        <w:spacing w:before="200" w:after="80"/>
        <w:ind w:hanging="0" w:start="0" w:end="0"/>
        <w:jc w:val="start"/>
        <w:rPr>
          <w:rFonts w:ascii="Calibri;Arial;sans-serif" w:hAnsi="Calibri;Arial;sans-serif"/>
          <w:color w:val="1E293B"/>
          <w:sz w:val="26"/>
        </w:rPr>
      </w:pPr>
      <w:r>
        <w:rPr>
          <w:rFonts w:ascii="Calibri;Arial;sans-serif" w:hAnsi="Calibri;Arial;sans-serif"/>
          <w:color w:val="1E293B"/>
          <w:sz w:val="26"/>
        </w:rPr>
        <w:t>SCGCC V1.0 — Seguimiento y Control de la Gestión de Correspondencia Corporativa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Style w:val="Strong"/>
        </w:rPr>
        <w:t>Código Normativo:</w:t>
      </w:r>
      <w:r>
        <w:rPr/>
        <w:t xml:space="preserve"> </w:t>
      </w:r>
      <w:r>
        <w:rPr>
          <w:rStyle w:val="Textooriginal"/>
          <w:rFonts w:ascii="Consolas;Courier New;monospace" w:hAnsi="Consolas;Courier New;monospace"/>
          <w:color w:val="5B21B6"/>
          <w:sz w:val="17"/>
          <w:shd w:fill="EDE9FE" w:val="clear"/>
        </w:rPr>
        <w:t>GGPD-SCGCC-DOCFUN-2026-V01</w:t>
      </w:r>
      <w:r>
        <w:rPr/>
        <w:t xml:space="preserve"> </w:t>
      </w:r>
      <w:r>
        <w:rPr>
          <w:rStyle w:val="Strong"/>
        </w:rPr>
        <w:t>Normas de Referencia:</w:t>
      </w:r>
      <w:r>
        <w:rPr/>
        <w:t xml:space="preserve"> ISO 15489-1:2016 | ISO 9001:2015 | ISO/IEC 27001:2022 | ISO 8000-110 | ISACA COBIT 2019 </w:t>
      </w:r>
    </w:p>
    <w:p>
      <w:pPr>
        <w:pStyle w:val="Lneahorizontal"/>
        <w:bidi w:val="0"/>
        <w:jc w:val="start"/>
        <w:rPr/>
      </w:pPr>
      <w:r>
        <w:rPr/>
      </w:r>
    </w:p>
    <w:tbl>
      <w:tblPr>
        <w:tblW w:w="11339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1339"/>
      </w:tblGrid>
      <w:tr>
        <w:trPr/>
        <w:tc>
          <w:tcPr>
            <w:tcW w:w="11339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METADATOS INSTITUCIONALES DEL DOCUMENTO</w:t>
            </w:r>
          </w:p>
        </w:tc>
      </w:tr>
      <w:tr>
        <w:trPr/>
        <w:tc>
          <w:tcPr>
            <w:tcW w:w="11339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:</w:t>
            </w:r>
          </w:p>
          <w:p>
            <w:pPr>
              <w:pStyle w:val="Lneahorizontal"/>
              <w:bidi w:val="0"/>
              <w:spacing w:before="0" w:after="283"/>
              <w:ind w:hanging="0" w:start="0" w:end="0"/>
              <w:jc w:val="start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</w:r>
          </w:p>
        </w:tc>
      </w:tr>
      <w:tr>
        <w:trPr/>
        <w:tc>
          <w:tcPr>
            <w:tcW w:w="11339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  <w:sz w:val="19"/>
              </w:rPr>
              <w:t>Organización / Ente:</w:t>
            </w:r>
            <w:r>
              <w:rPr>
                <w:b/>
                <w:color w:val="FFFFFF"/>
                <w:sz w:val="19"/>
              </w:rPr>
              <w:t xml:space="preserve"> Corporación Eléctrica Nacional, S.A. (CORPOELEC) / MPPEE</w:t>
            </w:r>
          </w:p>
        </w:tc>
      </w:tr>
      <w:tr>
        <w:trPr/>
        <w:tc>
          <w:tcPr>
            <w:tcW w:w="11339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  <w:sz w:val="19"/>
              </w:rPr>
              <w:t>Unidad Solicitante / Usuaria:</w:t>
            </w:r>
            <w:r>
              <w:rPr>
                <w:b/>
                <w:color w:val="FFFFFF"/>
                <w:sz w:val="19"/>
              </w:rPr>
              <w:t xml:space="preserve"> Gerencia General de Gestión de Planificación de Distribución (GGPD)</w:t>
            </w:r>
          </w:p>
        </w:tc>
      </w:tr>
      <w:tr>
        <w:trPr/>
        <w:tc>
          <w:tcPr>
            <w:tcW w:w="11339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  <w:sz w:val="19"/>
              </w:rPr>
              <w:t>Líder de Proyecto:</w:t>
            </w:r>
            <w:r>
              <w:rPr>
                <w:b/>
                <w:color w:val="FFFFFF"/>
                <w:sz w:val="19"/>
              </w:rPr>
              <w:t xml:space="preserve"> Yván M. Cipiran N. / Equipo de Automatización e Ingeniería de Productos con IA</w:t>
            </w:r>
          </w:p>
        </w:tc>
      </w:tr>
      <w:tr>
        <w:trPr/>
        <w:tc>
          <w:tcPr>
            <w:tcW w:w="11339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  <w:sz w:val="19"/>
              </w:rPr>
              <w:t>Fecha de Emisión de Avance:</w:t>
            </w:r>
            <w:r>
              <w:rPr>
                <w:b/>
                <w:color w:val="FFFFFF"/>
                <w:sz w:val="19"/>
              </w:rPr>
              <w:t xml:space="preserve"> 24 de Agosto de 2026</w:t>
            </w:r>
          </w:p>
        </w:tc>
      </w:tr>
      <w:tr>
        <w:trPr/>
        <w:tc>
          <w:tcPr>
            <w:tcW w:w="11339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  <w:sz w:val="19"/>
              </w:rPr>
              <w:t>Estado del Documento:</w:t>
            </w:r>
            <w:r>
              <w:rPr>
                <w:b/>
                <w:color w:val="FFFFFF"/>
                <w:sz w:val="19"/>
              </w:rPr>
              <w:t xml:space="preserve"> 🟡 </w:t>
            </w:r>
            <w:r>
              <w:rPr>
                <w:rStyle w:val="Strong"/>
                <w:b/>
                <w:bCs/>
                <w:color w:val="FFFFFF"/>
                <w:sz w:val="19"/>
              </w:rPr>
              <w:t>Informe de Avance y Validación Preliminar con Solicitantes</w:t>
            </w:r>
          </w:p>
        </w:tc>
      </w:tr>
      <w:tr>
        <w:trPr/>
        <w:tc>
          <w:tcPr>
            <w:tcW w:w="11339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  <w:sz w:val="19"/>
              </w:rPr>
              <w:t>Versión del Sistema:</w:t>
            </w:r>
            <w:r>
              <w:rPr>
                <w:b/>
                <w:color w:val="FFFFFF"/>
                <w:sz w:val="19"/>
              </w:rPr>
              <w:t xml:space="preserve"> SCGCC V1.0 (Build 2026.08 — Grado Industrial SEN)</w:t>
            </w:r>
          </w:p>
        </w:tc>
      </w:tr>
      <w:tr>
        <w:trPr/>
        <w:tc>
          <w:tcPr>
            <w:tcW w:w="11339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jc w:val="start"/>
              <w:rPr/>
            </w:pPr>
            <w:r>
              <w:rPr>
                <w:rStyle w:val="Strong"/>
                <w:b/>
                <w:bCs/>
                <w:color w:val="FFFFFF"/>
                <w:sz w:val="19"/>
              </w:rPr>
              <w:t>Entorno de Prueba / Despliegue:</w:t>
            </w:r>
            <w:r>
              <w:rPr>
                <w:b/>
                <w:color w:val="FFFFFF"/>
                <w:sz w:val="19"/>
              </w:rPr>
              <w:t xml:space="preserve"> [https://corpoelec-scgcc-corpoelec-ggpd-hosting-apps.vibehost.space](https://corpoelec-scgcc-corpoelec-ggpd-hosting-apps.vibehost.space)</w:t>
            </w:r>
          </w:p>
        </w:tc>
      </w:tr>
    </w:tbl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pBdr>
          <w:bottom w:val="single" w:sz="2" w:space="2" w:color="DDD6FE"/>
        </w:pBdr>
        <w:bidi w:val="0"/>
        <w:spacing w:before="280" w:after="120"/>
        <w:ind w:hanging="0" w:start="0" w:end="0"/>
        <w:jc w:val="start"/>
        <w:rPr>
          <w:color w:val="5B21B6"/>
        </w:rPr>
      </w:pPr>
      <w:r>
        <w:rPr>
          <w:color w:val="5B21B6"/>
        </w:rPr>
        <w:t xml:space="preserve">📌 </w:t>
      </w:r>
      <w:r>
        <w:rPr>
          <w:rFonts w:ascii="Calibri;Arial;sans-serif" w:hAnsi="Calibri;Arial;sans-serif"/>
          <w:color w:val="5B21B6"/>
          <w:sz w:val="32"/>
        </w:rPr>
        <w:t>1. PROPÓSITO Y JUSTIFICACIÓN INSTITUCIONAL: ¿POR QUÉ NACE SCGCC?</w:t>
      </w:r>
    </w:p>
    <w:p>
      <w:pPr>
        <w:pStyle w:val="Heading3"/>
        <w:bidi w:val="0"/>
        <w:spacing w:before="200" w:after="80"/>
        <w:ind w:hanging="0" w:start="0" w:end="0"/>
        <w:jc w:val="start"/>
        <w:rPr>
          <w:rFonts w:ascii="Calibri;Arial;sans-serif" w:hAnsi="Calibri;Arial;sans-serif"/>
          <w:color w:val="1E293B"/>
          <w:sz w:val="26"/>
        </w:rPr>
      </w:pPr>
      <w:r>
        <w:rPr>
          <w:rFonts w:ascii="Calibri;Arial;sans-serif" w:hAnsi="Calibri;Arial;sans-serif"/>
          <w:color w:val="1E293B"/>
          <w:sz w:val="26"/>
        </w:rPr>
        <w:t>1.1. Diagnóstico de la Problemática Actual</w:t>
      </w:r>
    </w:p>
    <w:p>
      <w:pPr>
        <w:pStyle w:val="BodyText"/>
        <w:bidi w:val="0"/>
        <w:jc w:val="start"/>
        <w:rPr/>
      </w:pPr>
      <w:r>
        <w:rPr/>
        <w:t xml:space="preserve">En la operativa diaria de la </w:t>
      </w:r>
      <w:r>
        <w:rPr>
          <w:rStyle w:val="Strong"/>
        </w:rPr>
        <w:t>Gerencia General de Gestión de Planificación de Distribución (GGPD)</w:t>
      </w:r>
      <w:r>
        <w:rPr/>
        <w:t xml:space="preserve">, se recibe y despacha un volumen crítico de correspondencia oficial proveniente del Ministerio del Poder Popular para la Energía Eléctrica (MPPEE), Presidencia de CORPOELEC, Viceministerios, Gerencias Generales Territoriales y Requerimientos del Sistema 1x10 del Buen Gobierno. </w:t>
      </w:r>
    </w:p>
    <w:p>
      <w:pPr>
        <w:pStyle w:val="BodyText"/>
        <w:bidi w:val="0"/>
        <w:spacing w:lineRule="auto" w:line="336" w:before="60" w:after="120"/>
        <w:ind w:hanging="0" w:start="60" w:end="60"/>
        <w:jc w:val="start"/>
        <w:rPr/>
      </w:pPr>
      <w:r>
        <w:rPr>
          <w:color w:val="1E293B"/>
          <w:sz w:val="21"/>
        </w:rPr>
        <w:t>Históricamente, la gestión de esta documentación presentaba los siguientes riesgos y cuellos de botella:</w:t>
        <w:br/>
        <w:t xml:space="preserve">1. </w:t>
      </w:r>
      <w:r>
        <w:rPr>
          <w:rStyle w:val="Strong"/>
          <w:color w:val="1E293B"/>
          <w:sz w:val="21"/>
        </w:rPr>
        <w:t>Dispersión y Riesgo de Extravío:</w:t>
      </w:r>
      <w:r>
        <w:rPr>
          <w:color w:val="1E293B"/>
          <w:sz w:val="21"/>
        </w:rPr>
        <w:t xml:space="preserve"> Documentos físicos o escaneados almacenados en carpetas locales dispares, correos personales o canales no trazables (WhatsApp), sin una custodia digital unificada.</w:t>
        <w:br/>
        <w:t xml:space="preserve">2. </w:t>
      </w:r>
      <w:r>
        <w:rPr>
          <w:rStyle w:val="Strong"/>
          <w:color w:val="1E293B"/>
          <w:sz w:val="21"/>
        </w:rPr>
        <w:t>Incertidumbre en Tiempos de Respuesta (SLA):</w:t>
      </w:r>
      <w:r>
        <w:rPr>
          <w:color w:val="1E293B"/>
          <w:sz w:val="21"/>
        </w:rPr>
        <w:t xml:space="preserve"> Dificultad para auditar en tiempo real qué comunicaciones están próximas a vencer o qué oficios legales requieren respuesta perentoria.</w:t>
        <w:br/>
        <w:t xml:space="preserve">3. </w:t>
      </w:r>
      <w:r>
        <w:rPr>
          <w:rStyle w:val="Strong"/>
          <w:color w:val="1E293B"/>
          <w:sz w:val="21"/>
        </w:rPr>
        <w:t>Desconexión entre la Correspondencia y la Acción Operativa:</w:t>
      </w:r>
      <w:r>
        <w:rPr>
          <w:color w:val="1E293B"/>
          <w:sz w:val="21"/>
        </w:rPr>
        <w:t xml:space="preserve"> Una comunicación formal recibida solía quedar como un "trámite administrativo", requiriendo reuniones o llamadas adicionales para que los analistas ejecutaran los estudios técnicos necesarios.</w:t>
        <w:br/>
        <w:t xml:space="preserve">4. </w:t>
      </w:r>
      <w:r>
        <w:rPr>
          <w:rStyle w:val="Strong"/>
          <w:color w:val="1E293B"/>
          <w:sz w:val="21"/>
        </w:rPr>
        <w:t>Falta de Trazabilidad 360° para Reuniones Ejecutivas:</w:t>
      </w:r>
      <w:r>
        <w:rPr>
          <w:color w:val="1E293B"/>
          <w:sz w:val="21"/>
        </w:rPr>
        <w:t xml:space="preserve"> Al momento de reuniones de directorio con el Ministro o la Presidencia, recopilar el historial completo de un requerimiento (qué entró, quién lo analizó y qué oficio de respuesta se emitió) tomaba horas o días.</w:t>
      </w:r>
    </w:p>
    <w:p>
      <w:pPr>
        <w:pStyle w:val="Heading3"/>
        <w:bidi w:val="0"/>
        <w:spacing w:before="200" w:after="80"/>
        <w:ind w:hanging="0" w:start="0" w:end="0"/>
        <w:jc w:val="start"/>
        <w:rPr>
          <w:rFonts w:ascii="Calibri;Arial;sans-serif" w:hAnsi="Calibri;Arial;sans-serif"/>
          <w:color w:val="1E293B"/>
          <w:sz w:val="26"/>
        </w:rPr>
      </w:pPr>
      <w:r>
        <w:rPr>
          <w:rFonts w:ascii="Calibri;Arial;sans-serif" w:hAnsi="Calibri;Arial;sans-serif"/>
          <w:color w:val="1E293B"/>
          <w:sz w:val="26"/>
        </w:rPr>
        <w:t>1.2. Misión del SCGCC V1.0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El </w:t>
      </w:r>
      <w:r>
        <w:rPr>
          <w:rStyle w:val="Strong"/>
        </w:rPr>
        <w:t>SCGCC V1.0</w:t>
      </w:r>
      <w:r>
        <w:rPr/>
        <w:t xml:space="preserve"> se concibe como una plataforma digital de </w:t>
      </w:r>
      <w:r>
        <w:rPr>
          <w:rStyle w:val="Strong"/>
        </w:rPr>
        <w:t>Grado Industrial SEN</w:t>
      </w:r>
      <w:r>
        <w:rPr/>
        <w:t xml:space="preserve"> destinada a: - </w:t>
      </w:r>
      <w:r>
        <w:rPr>
          <w:rStyle w:val="Strong"/>
        </w:rPr>
        <w:t>Radicar y Centralizar:</w:t>
      </w:r>
      <w:r>
        <w:rPr/>
        <w:t xml:space="preserve"> Registrar en segundos toda correspondencia de entrada, salida e interna con un correlativo inmutable único. - </w:t>
      </w:r>
      <w:r>
        <w:rPr>
          <w:rStyle w:val="Strong"/>
        </w:rPr>
        <w:t>Triaje y Clasificación Inteligente:</w:t>
      </w:r>
      <w:r>
        <w:rPr/>
        <w:t xml:space="preserve"> Categorizar por criticidad, verbos rectores y nivel de instrucción ejecutiva. - </w:t>
      </w:r>
      <w:r>
        <w:rPr>
          <w:rStyle w:val="Strong"/>
        </w:rPr>
        <w:t>Derivar a la Acción (Integración SCMTP):</w:t>
      </w:r>
      <w:r>
        <w:rPr/>
        <w:t xml:space="preserve"> Convertir automáticamente las instrucciones técnicas en compromisos y tareas asignadas dentro del gestor operativo de la gerencia. - </w:t>
      </w:r>
      <w:r>
        <w:rPr>
          <w:rStyle w:val="Strong"/>
        </w:rPr>
        <w:t>Custodiar con Integridad ISO 15489 / ISO 27001:</w:t>
      </w:r>
      <w:r>
        <w:rPr/>
        <w:t xml:space="preserve"> Almacenar los documentos digitales con firmas criptográficas (Hash SHA-256) en una taxonomía de directorios automatizada.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pBdr>
          <w:bottom w:val="single" w:sz="2" w:space="2" w:color="DDD6FE"/>
        </w:pBdr>
        <w:bidi w:val="0"/>
        <w:spacing w:before="280" w:after="120"/>
        <w:ind w:hanging="0" w:start="0" w:end="0"/>
        <w:jc w:val="start"/>
        <w:rPr>
          <w:color w:val="5B21B6"/>
        </w:rPr>
      </w:pPr>
      <w:r>
        <w:rPr>
          <w:color w:val="5B21B6"/>
        </w:rPr>
        <w:t xml:space="preserve">🧭 </w:t>
      </w:r>
      <w:r>
        <w:rPr>
          <w:rFonts w:ascii="Calibri;Arial;sans-serif" w:hAnsi="Calibri;Arial;sans-serif"/>
          <w:color w:val="5B21B6"/>
          <w:sz w:val="32"/>
        </w:rPr>
        <w:t>2. ANÁLISIS DE CONSULTAS CLAVE Y DECISIONES DE DISEÑO FUNCIONAL</w:t>
      </w:r>
    </w:p>
    <w:p>
      <w:pPr>
        <w:pStyle w:val="BodyText"/>
        <w:bidi w:val="0"/>
        <w:spacing w:lineRule="auto" w:line="336" w:before="60" w:after="120"/>
        <w:ind w:hanging="0" w:start="60" w:end="60"/>
        <w:jc w:val="start"/>
        <w:rPr>
          <w:rFonts w:ascii="Calibri;Arial;sans-serif" w:hAnsi="Calibri;Arial;sans-serif"/>
          <w:color w:val="1E293B"/>
          <w:sz w:val="21"/>
        </w:rPr>
      </w:pPr>
      <w:r>
        <w:rPr>
          <w:color w:val="1E293B"/>
          <w:sz w:val="21"/>
        </w:rPr>
        <w:t>Durante la fase de análisis y diseño preliminar se abordaron interrogantes estratégicas fundamentales para garantizar que el sistema responda a la realidad del sector eléctrico:</w:t>
      </w:r>
    </w:p>
    <w:p>
      <w:pPr>
        <w:pStyle w:val="Heading3"/>
        <w:bidi w:val="0"/>
        <w:spacing w:before="200" w:after="80"/>
        <w:ind w:hanging="0" w:start="0" w:end="0"/>
        <w:jc w:val="start"/>
        <w:rPr>
          <w:rFonts w:ascii="Calibri;Arial;sans-serif" w:hAnsi="Calibri;Arial;sans-serif"/>
          <w:color w:val="1E293B"/>
          <w:sz w:val="26"/>
        </w:rPr>
      </w:pPr>
      <w:r>
        <w:rPr>
          <w:rFonts w:ascii="Calibri;Arial;sans-serif" w:hAnsi="Calibri;Arial;sans-serif"/>
          <w:color w:val="1E293B"/>
          <w:sz w:val="26"/>
        </w:rPr>
        <w:t>2.1. ¿Cómo se tratan las Instrucciones Directas del Gerente General y del Ministro?</w:t>
      </w:r>
    </w:p>
    <w:p>
      <w:pPr>
        <w:pStyle w:val="BodyText"/>
        <w:bidi w:val="0"/>
        <w:jc w:val="start"/>
        <w:rPr/>
      </w:pPr>
      <w:r>
        <w:rPr/>
        <w:t xml:space="preserve">Se analizó la necesidad de establecer un canal preferencial de alta jerarquía. No toda correspondencia es un simple memorándum informativo; existen </w:t>
      </w:r>
      <w:r>
        <w:rPr>
          <w:rStyle w:val="Strong"/>
        </w:rPr>
        <w:t>Instrucciones Ejecutivas Vinculantes</w:t>
      </w:r>
      <w:r>
        <w:rPr/>
        <w:t xml:space="preserve">. </w:t>
      </w:r>
    </w:p>
    <w:p>
      <w:pPr>
        <w:pStyle w:val="BodyText"/>
        <w:bidi w:val="0"/>
        <w:spacing w:lineRule="auto" w:line="336" w:before="60" w:after="120"/>
        <w:ind w:hanging="0" w:start="60" w:end="60"/>
        <w:jc w:val="start"/>
        <w:rPr/>
      </w:pPr>
      <w:r>
        <w:rPr>
          <w:color w:val="1E293B"/>
          <w:sz w:val="21"/>
        </w:rPr>
        <w:t xml:space="preserve">El sistema clasifica la correspondencia según </w:t>
      </w:r>
      <w:r>
        <w:rPr>
          <w:rStyle w:val="Strong"/>
          <w:color w:val="1E293B"/>
          <w:sz w:val="21"/>
        </w:rPr>
        <w:t>Verbos Rectores y Niveles de Jerarquía</w:t>
      </w:r>
      <w:r>
        <w:rPr>
          <w:color w:val="1E293B"/>
          <w:sz w:val="21"/>
        </w:rPr>
        <w:t>:</w:t>
      </w:r>
    </w:p>
    <w:tbl>
      <w:tblPr>
        <w:tblW w:w="11339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968"/>
        <w:gridCol w:w="2427"/>
        <w:gridCol w:w="2283"/>
        <w:gridCol w:w="3209"/>
        <w:gridCol w:w="1452"/>
      </w:tblGrid>
      <w:tr>
        <w:trPr/>
        <w:tc>
          <w:tcPr>
            <w:tcW w:w="1968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Nivel de Prioridad</w:t>
            </w:r>
          </w:p>
        </w:tc>
        <w:tc>
          <w:tcPr>
            <w:tcW w:w="2427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Verbo Rector / Naturaleza</w:t>
            </w:r>
          </w:p>
        </w:tc>
        <w:tc>
          <w:tcPr>
            <w:tcW w:w="2283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Tipo de Emisor</w:t>
            </w:r>
          </w:p>
        </w:tc>
        <w:tc>
          <w:tcPr>
            <w:tcW w:w="3209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Tratamiento en SCGCC</w:t>
            </w:r>
          </w:p>
        </w:tc>
        <w:tc>
          <w:tcPr>
            <w:tcW w:w="1452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Plazo Estándar (SLA)</w:t>
            </w:r>
          </w:p>
        </w:tc>
      </w:tr>
      <w:tr>
        <w:trPr/>
        <w:tc>
          <w:tcPr>
            <w:tcW w:w="1968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:</w:t>
            </w:r>
          </w:p>
          <w:p>
            <w:pPr>
              <w:pStyle w:val="Lneahorizontal"/>
              <w:bidi w:val="0"/>
              <w:spacing w:before="0" w:after="283"/>
              <w:ind w:hanging="0" w:start="0" w:end="0"/>
              <w:jc w:val="start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</w:r>
          </w:p>
        </w:tc>
        <w:tc>
          <w:tcPr>
            <w:tcW w:w="2427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:</w:t>
            </w:r>
          </w:p>
          <w:p>
            <w:pPr>
              <w:pStyle w:val="Lneahorizontal"/>
              <w:bidi w:val="0"/>
              <w:spacing w:before="0" w:after="283"/>
              <w:ind w:hanging="0" w:start="0" w:end="0"/>
              <w:jc w:val="start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</w:r>
          </w:p>
        </w:tc>
        <w:tc>
          <w:tcPr>
            <w:tcW w:w="2283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:</w:t>
            </w:r>
          </w:p>
          <w:p>
            <w:pPr>
              <w:pStyle w:val="Lneahorizontal"/>
              <w:bidi w:val="0"/>
              <w:spacing w:before="0" w:after="283"/>
              <w:ind w:hanging="0" w:start="0" w:end="0"/>
              <w:jc w:val="start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</w:r>
          </w:p>
        </w:tc>
        <w:tc>
          <w:tcPr>
            <w:tcW w:w="3209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:</w:t>
            </w:r>
          </w:p>
          <w:p>
            <w:pPr>
              <w:pStyle w:val="Lneahorizontal"/>
              <w:bidi w:val="0"/>
              <w:spacing w:before="0" w:after="283"/>
              <w:ind w:hanging="0" w:start="0" w:end="0"/>
              <w:jc w:val="start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</w:r>
          </w:p>
        </w:tc>
        <w:tc>
          <w:tcPr>
            <w:tcW w:w="1452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:</w:t>
            </w:r>
          </w:p>
          <w:p>
            <w:pPr>
              <w:pStyle w:val="Lneahorizontal"/>
              <w:bidi w:val="0"/>
              <w:jc w:val="start"/>
              <w:rPr/>
            </w:pPr>
            <w:r>
              <w:rPr/>
            </w:r>
          </w:p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:</w:t>
            </w:r>
          </w:p>
        </w:tc>
      </w:tr>
      <w:tr>
        <w:trPr/>
        <w:tc>
          <w:tcPr>
            <w:tcW w:w="1968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</w:rPr>
              <w:t xml:space="preserve">🚨 </w:t>
            </w:r>
            <w:r>
              <w:rPr>
                <w:rStyle w:val="Strong"/>
                <w:b/>
                <w:bCs/>
                <w:color w:val="FFFFFF"/>
                <w:sz w:val="19"/>
              </w:rPr>
              <w:t>URGENTE / ORDEN EJECUTIVA</w:t>
            </w:r>
          </w:p>
        </w:tc>
        <w:tc>
          <w:tcPr>
            <w:tcW w:w="2427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  <w:sz w:val="19"/>
              </w:rPr>
              <w:t>INSTRUCCIÓN DIRECTA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rStyle w:val="Emphasis"/>
                <w:b/>
                <w:color w:val="FFFFFF"/>
                <w:sz w:val="19"/>
              </w:rPr>
              <w:t>(Ejecutar, Acatar, Desplegar)</w:t>
            </w:r>
          </w:p>
        </w:tc>
        <w:tc>
          <w:tcPr>
            <w:tcW w:w="2283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Ministro / Despacho Presidencia / Gerente General</w:t>
            </w:r>
          </w:p>
        </w:tc>
        <w:tc>
          <w:tcPr>
            <w:tcW w:w="3209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  <w:sz w:val="19"/>
              </w:rPr>
              <w:t>Canal Preferencial Rojo:</w:t>
            </w:r>
            <w:r>
              <w:rPr>
                <w:b/>
                <w:color w:val="FFFFFF"/>
                <w:sz w:val="19"/>
              </w:rPr>
              <w:t xml:space="preserve"> Notificación inmediata, derivación automática a tarea de máxima prioridad en SCMTP.</w:t>
            </w:r>
          </w:p>
        </w:tc>
        <w:tc>
          <w:tcPr>
            <w:tcW w:w="1452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  <w:sz w:val="19"/>
              </w:rPr>
              <w:t>24 a 48 Horas</w:t>
            </w:r>
          </w:p>
        </w:tc>
      </w:tr>
      <w:tr>
        <w:trPr/>
        <w:tc>
          <w:tcPr>
            <w:tcW w:w="1968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</w:rPr>
              <w:t xml:space="preserve">⚡ </w:t>
            </w:r>
            <w:r>
              <w:rPr>
                <w:rStyle w:val="Strong"/>
                <w:b/>
                <w:bCs/>
                <w:color w:val="FFFFFF"/>
                <w:sz w:val="19"/>
              </w:rPr>
              <w:t>ALTA / TÉCNICA</w:t>
            </w:r>
          </w:p>
        </w:tc>
        <w:tc>
          <w:tcPr>
            <w:tcW w:w="2427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  <w:sz w:val="19"/>
              </w:rPr>
              <w:t>EVALUACIÓN / DICTAMEN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rStyle w:val="Emphasis"/>
                <w:b/>
                <w:color w:val="FFFFFF"/>
                <w:sz w:val="19"/>
              </w:rPr>
              <w:t>(Evaluar, Analizar, Informar)</w:t>
            </w:r>
          </w:p>
        </w:tc>
        <w:tc>
          <w:tcPr>
            <w:tcW w:w="2283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Viceministerios / Gerencias Generales de Distribución</w:t>
            </w:r>
          </w:p>
        </w:tc>
        <w:tc>
          <w:tcPr>
            <w:tcW w:w="3209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  <w:sz w:val="19"/>
              </w:rPr>
              <w:t>Canal Ámbar:</w:t>
            </w:r>
            <w:r>
              <w:rPr>
                <w:b/>
                <w:color w:val="FFFFFF"/>
                <w:sz w:val="19"/>
              </w:rPr>
              <w:t xml:space="preserve"> Asignación a especialista técnico para elaboración de informe técnico.</w:t>
            </w:r>
          </w:p>
        </w:tc>
        <w:tc>
          <w:tcPr>
            <w:tcW w:w="1452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  <w:sz w:val="19"/>
              </w:rPr>
              <w:t>3 a 5 Días Hábiles</w:t>
            </w:r>
          </w:p>
        </w:tc>
      </w:tr>
      <w:tr>
        <w:trPr/>
        <w:tc>
          <w:tcPr>
            <w:tcW w:w="1968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</w:rPr>
              <w:t xml:space="preserve">📋 </w:t>
            </w:r>
            <w:r>
              <w:rPr>
                <w:rStyle w:val="Strong"/>
                <w:b/>
                <w:bCs/>
                <w:color w:val="FFFFFF"/>
                <w:sz w:val="19"/>
              </w:rPr>
              <w:t>MEDIA / REVISIÓN</w:t>
            </w:r>
          </w:p>
        </w:tc>
        <w:tc>
          <w:tcPr>
            <w:tcW w:w="2427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  <w:sz w:val="19"/>
              </w:rPr>
              <w:t>REVISIÓN / CONFORMIDAD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rStyle w:val="Emphasis"/>
                <w:b/>
                <w:color w:val="FFFFFF"/>
                <w:sz w:val="19"/>
              </w:rPr>
              <w:t>(Revisar, Validar, Cotejar)</w:t>
            </w:r>
          </w:p>
        </w:tc>
        <w:tc>
          <w:tcPr>
            <w:tcW w:w="2283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Gerencias Estadales / Supervisiones</w:t>
            </w:r>
          </w:p>
        </w:tc>
        <w:tc>
          <w:tcPr>
            <w:tcW w:w="3209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  <w:sz w:val="19"/>
              </w:rPr>
              <w:t>Canal Azul:</w:t>
            </w:r>
            <w:r>
              <w:rPr>
                <w:b/>
                <w:color w:val="FFFFFF"/>
                <w:sz w:val="19"/>
              </w:rPr>
              <w:t xml:space="preserve"> Revisión de antecedentes y emisión de visto bueno formal.</w:t>
            </w:r>
          </w:p>
        </w:tc>
        <w:tc>
          <w:tcPr>
            <w:tcW w:w="1452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  <w:sz w:val="19"/>
              </w:rPr>
              <w:t>5 a 10 Días Hábiles</w:t>
            </w:r>
          </w:p>
        </w:tc>
      </w:tr>
      <w:tr>
        <w:trPr/>
        <w:tc>
          <w:tcPr>
            <w:tcW w:w="1968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</w:rPr>
              <w:t xml:space="preserve">ℹ️ </w:t>
            </w:r>
            <w:r>
              <w:rPr>
                <w:rStyle w:val="Strong"/>
                <w:b/>
                <w:bCs/>
                <w:color w:val="FFFFFF"/>
                <w:sz w:val="19"/>
              </w:rPr>
              <w:t>ORDINARIA / INFORMATIVA</w:t>
            </w:r>
          </w:p>
        </w:tc>
        <w:tc>
          <w:tcPr>
            <w:tcW w:w="2427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  <w:sz w:val="19"/>
              </w:rPr>
              <w:t>CONOCIMIENTO / DIFUSIÓN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rStyle w:val="Emphasis"/>
                <w:b/>
                <w:color w:val="FFFFFF"/>
                <w:sz w:val="19"/>
              </w:rPr>
              <w:t>(Notificar, Archivar)</w:t>
            </w:r>
          </w:p>
        </w:tc>
        <w:tc>
          <w:tcPr>
            <w:tcW w:w="2283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Entes Externos / Circulares Institucionales</w:t>
            </w:r>
          </w:p>
        </w:tc>
        <w:tc>
          <w:tcPr>
            <w:tcW w:w="3209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  <w:sz w:val="19"/>
              </w:rPr>
              <w:t>Canal Esmeralda:</w:t>
            </w:r>
            <w:r>
              <w:rPr>
                <w:b/>
                <w:color w:val="FFFFFF"/>
                <w:sz w:val="19"/>
              </w:rPr>
              <w:t xml:space="preserve"> Radicación, acuse y custodia directa en archivo digital sin derivar tarea.</w:t>
            </w:r>
          </w:p>
        </w:tc>
        <w:tc>
          <w:tcPr>
            <w:tcW w:w="1452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N/A (Informativo)</w:t>
            </w:r>
          </w:p>
        </w:tc>
      </w:tr>
    </w:tbl>
    <w:p>
      <w:pPr>
        <w:pStyle w:val="Lneahorizontal"/>
        <w:bidi w:val="0"/>
        <w:jc w:val="start"/>
        <w:rPr/>
      </w:pPr>
      <w:r>
        <w:rPr/>
      </w:r>
    </w:p>
    <w:p>
      <w:pPr>
        <w:pStyle w:val="Heading3"/>
        <w:bidi w:val="0"/>
        <w:spacing w:before="200" w:after="80"/>
        <w:ind w:hanging="0" w:start="0" w:end="0"/>
        <w:jc w:val="start"/>
        <w:rPr>
          <w:rFonts w:ascii="Calibri;Arial;sans-serif" w:hAnsi="Calibri;Arial;sans-serif"/>
          <w:color w:val="1E293B"/>
          <w:sz w:val="26"/>
        </w:rPr>
      </w:pPr>
      <w:r>
        <w:rPr>
          <w:rFonts w:ascii="Calibri;Arial;sans-serif" w:hAnsi="Calibri;Arial;sans-serif"/>
          <w:color w:val="1E293B"/>
          <w:sz w:val="26"/>
        </w:rPr>
        <w:t>2.2. ¿Dónde viajan los documentos cargados? (Estructura de Directorios vs. Tradición)</w:t>
      </w:r>
    </w:p>
    <w:p>
      <w:pPr>
        <w:pStyle w:val="BodyText"/>
        <w:bidi w:val="0"/>
        <w:jc w:val="start"/>
        <w:rPr/>
      </w:pPr>
      <w:r>
        <w:rPr/>
        <w:t xml:space="preserve">Una de las consultas principales de los solicitantes fue el destino físico de los archivos escaneados: </w:t>
      </w:r>
      <w:r>
        <w:rPr>
          <w:rStyle w:val="Emphasis"/>
        </w:rPr>
        <w:t>¿Quedan sueltos en el sistema o viajan a las carpetas organizadas de la gerencia?</w:t>
      </w:r>
      <w:r>
        <w:rPr/>
        <w:t xml:space="preserve"> </w:t>
      </w:r>
    </w:p>
    <w:p>
      <w:pPr>
        <w:pStyle w:val="Heading4"/>
        <w:bidi w:val="0"/>
        <w:spacing w:before="160" w:after="40"/>
        <w:ind w:hanging="0" w:start="0" w:end="0"/>
        <w:jc w:val="start"/>
        <w:rPr>
          <w:rFonts w:ascii="Calibri;Arial;sans-serif" w:hAnsi="Calibri;Arial;sans-serif"/>
          <w:color w:val="475569"/>
          <w:sz w:val="23"/>
        </w:rPr>
      </w:pPr>
      <w:r>
        <w:rPr>
          <w:rFonts w:ascii="Calibri;Arial;sans-serif" w:hAnsi="Calibri;Arial;sans-serif"/>
          <w:color w:val="475569"/>
          <w:sz w:val="23"/>
        </w:rPr>
        <w:t>Política de Custodia Digital Estandarizada (ISO 15489):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El sistema implementa un </w:t>
      </w:r>
      <w:r>
        <w:rPr>
          <w:rStyle w:val="Strong"/>
        </w:rPr>
        <w:t>Enfoque Híbrido Automatizado</w:t>
      </w:r>
      <w:r>
        <w:rPr/>
        <w:t xml:space="preserve">. La secretaria o analista </w:t>
      </w:r>
      <w:r>
        <w:rPr>
          <w:rStyle w:val="Strong"/>
        </w:rPr>
        <w:t>no necesita crear carpetas manuales ni renombrar archivos</w:t>
      </w:r>
      <w:r>
        <w:rPr/>
        <w:t xml:space="preserve">. Al adjuntar el documento en el SCGCC: 1. El sistema genera una </w:t>
      </w:r>
      <w:r>
        <w:rPr>
          <w:rStyle w:val="Strong"/>
        </w:rPr>
        <w:t>Nomenclatura Canónica Normalizada</w:t>
      </w:r>
      <w:r>
        <w:rPr/>
        <w:t xml:space="preserve">: </w:t>
      </w:r>
      <w:r>
        <w:rPr>
          <w:rStyle w:val="Textooriginal"/>
          <w:rFonts w:ascii="Consolas;Courier New;monospace" w:hAnsi="Consolas;Courier New;monospace"/>
          <w:color w:val="5B21B6"/>
          <w:sz w:val="17"/>
          <w:shd w:fill="EDE9FE" w:val="clear"/>
        </w:rPr>
        <w:t>[CORRELATIVO]_[NRO_ORIGEN]_[FECHA_RECEPCION].pdf</w:t>
      </w:r>
      <w:r>
        <w:rPr/>
        <w:t xml:space="preserve"> </w:t>
      </w:r>
      <w:r>
        <w:rPr>
          <w:rStyle w:val="Emphasis"/>
        </w:rPr>
        <w:t xml:space="preserve">(Ejemplo: </w:t>
      </w:r>
      <w:r>
        <w:rPr>
          <w:rStyle w:val="Textooriginal"/>
          <w:color w:val="5B21B6"/>
          <w:sz w:val="17"/>
          <w:shd w:fill="EDE9FE" w:val="clear"/>
        </w:rPr>
        <w:t>RAD-GGPD-2026-0012_OF-MPPEE-045_2026-08-24.pdf</w:t>
      </w:r>
      <w:r>
        <w:rPr>
          <w:rStyle w:val="Emphasis"/>
        </w:rPr>
        <w:t>)</w:t>
      </w:r>
      <w:r>
        <w:rPr/>
        <w:t xml:space="preserve">. 2. El archivo se envía automáticamente a la estructura jerárquica corporativa en almacenamiento seguro / Google Drive Institucional: </w:t>
      </w:r>
    </w:p>
    <w:p>
      <w:pPr>
        <w:pStyle w:val="BodyText"/>
        <w:bidi w:val="0"/>
        <w:spacing w:before="160" w:after="160"/>
        <w:ind w:hanging="0" w:start="160" w:end="160"/>
        <w:jc w:val="start"/>
        <w:rPr>
          <w:rFonts w:ascii="Consolas;Courier New;monospace" w:hAnsi="Consolas;Courier New;monospace"/>
          <w:color w:val="1E293B"/>
          <w:sz w:val="17"/>
          <w:bdr w:val="single" w:sz="2" w:space="8" w:color="CBD5E1"/>
          <w:shd w:fill="F8FAFC" w:val="clear"/>
        </w:rPr>
      </w:pPr>
      <w:r>
        <w:rPr>
          <w:rFonts w:ascii="Consolas;Courier New;monospace" w:hAnsi="Consolas;Courier New;monospace"/>
          <w:color w:val="1E293B"/>
          <w:sz w:val="17"/>
          <w:bdr w:val="single" w:sz="2" w:space="8" w:color="CBD5E1"/>
          <w:shd w:fill="F8FAFC" w:val="clear"/>
        </w:rPr>
        <w:t xml:space="preserve">text 📁 CORPOELEC_GGPD_CORRESPONDENCIA/ └── 📁 2026/ ├── 📁 01_ENTRADAS/ │ ├── 📁 OFICIOS_MINISTERIO_MPPEE/ │ ├── 📁 OFICIOS_PRESIDENCIA_CORPOELEC/ │ ├── 📁 SOLICITUDES_1X10_BUEN_GOBIERNO/ │ └── 📁 MEMORANDUMS_GERENCIAS_GENERALES/ ├── 📁 02_SALIDAS_DESPACHOS/ │ ├── 📁 BORRADORES_EN_REVISION/ │ ├── 📁 PENDIENTES_FIRMA_GERENCIAL/ │ └── 📁 OFICIOS_DESPACHADOS_CON_ACUSE/ ├── 📁 03_INTERNAS/ └── 📁 04_CONFIDENCIAL_RESERVADO/ 🔒 (Acceso Restringido ISO 27001)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360" w:leader="none"/>
        </w:tabs>
        <w:bidi w:val="0"/>
        <w:spacing w:before="0" w:after="40"/>
        <w:ind w:hanging="283" w:start="360" w:end="80"/>
        <w:jc w:val="start"/>
        <w:rPr/>
      </w:pPr>
      <w:r>
        <w:rPr>
          <w:rStyle w:val="Strong"/>
          <w:color w:val="1E293B"/>
          <w:sz w:val="20"/>
        </w:rPr>
        <w:t>Doble Vía de Consulta: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360" w:leader="none"/>
        </w:tabs>
        <w:bidi w:val="0"/>
        <w:spacing w:before="0" w:after="40"/>
        <w:ind w:hanging="283" w:start="360" w:end="80"/>
        <w:jc w:val="start"/>
        <w:rPr/>
      </w:pPr>
      <w:r>
        <w:rPr>
          <w:color w:val="1E293B"/>
          <w:sz w:val="20"/>
        </w:rPr>
        <w:t xml:space="preserve">- </w:t>
      </w:r>
      <w:r>
        <w:rPr>
          <w:rStyle w:val="Strong"/>
          <w:color w:val="1E293B"/>
          <w:sz w:val="20"/>
        </w:rPr>
        <w:t>Vía Rápida Web:</w:t>
      </w:r>
      <w:r>
        <w:rPr>
          <w:color w:val="1E293B"/>
          <w:sz w:val="20"/>
        </w:rPr>
        <w:t xml:space="preserve"> Desde el buscador de SCGCC, cualquier usuario autorizado abre el documento en 1 clic.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360" w:leader="none"/>
        </w:tabs>
        <w:bidi w:val="0"/>
        <w:spacing w:before="0" w:after="40"/>
        <w:ind w:hanging="283" w:start="360" w:end="80"/>
        <w:jc w:val="start"/>
        <w:rPr/>
      </w:pPr>
      <w:r>
        <w:rPr>
          <w:color w:val="1E293B"/>
          <w:sz w:val="20"/>
        </w:rPr>
        <w:t xml:space="preserve">- </w:t>
      </w:r>
      <w:r>
        <w:rPr>
          <w:rStyle w:val="Strong"/>
          <w:color w:val="1E293B"/>
          <w:sz w:val="20"/>
        </w:rPr>
        <w:t>Vía Carpeta Institucional:</w:t>
      </w:r>
      <w:r>
        <w:rPr>
          <w:color w:val="1E293B"/>
          <w:sz w:val="20"/>
        </w:rPr>
        <w:t xml:space="preserve"> Quien consulte Google Drive o la red corporativa encontrará todos los documentos ordenados por año y categoría, sin duplicados ni nombres corruptos.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3"/>
        <w:bidi w:val="0"/>
        <w:spacing w:before="200" w:after="80"/>
        <w:ind w:hanging="0" w:start="0" w:end="0"/>
        <w:jc w:val="start"/>
        <w:rPr>
          <w:rFonts w:ascii="Calibri;Arial;sans-serif" w:hAnsi="Calibri;Arial;sans-serif"/>
          <w:color w:val="1E293B"/>
          <w:sz w:val="26"/>
        </w:rPr>
      </w:pPr>
      <w:r>
        <w:rPr>
          <w:rFonts w:ascii="Calibri;Arial;sans-serif" w:hAnsi="Calibri;Arial;sans-serif"/>
          <w:color w:val="1E293B"/>
          <w:sz w:val="26"/>
        </w:rPr>
        <w:t>2.3. Segregación de Seguridad y Confidencialidad (ISO/IEC 27001)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- </w:t>
      </w:r>
      <w:r>
        <w:rPr>
          <w:rStyle w:val="Strong"/>
        </w:rPr>
        <w:t>Documentos Ordinarios:</w:t>
      </w:r>
      <w:r>
        <w:rPr/>
        <w:t xml:space="preserve"> Visibles para el equipo técnico asignado a la gerencia. - </w:t>
      </w:r>
      <w:r>
        <w:rPr>
          <w:rStyle w:val="Strong"/>
        </w:rPr>
        <w:t>Documentos Confidenciales / Reservados:</w:t>
      </w:r>
      <w:r>
        <w:rPr/>
        <w:t xml:space="preserve"> Visibles </w:t>
      </w:r>
      <w:r>
        <w:rPr>
          <w:rStyle w:val="Strong"/>
        </w:rPr>
        <w:t>exclusivamente</w:t>
      </w:r>
      <w:r>
        <w:rPr/>
        <w:t xml:space="preserve"> para el Gerente General y la Secretaría de Despacho. Al derivar una tarea técnica a un analista, este recibe la </w:t>
      </w:r>
      <w:r>
        <w:rPr>
          <w:rStyle w:val="Emphasis"/>
        </w:rPr>
        <w:t>instrucción operativa</w:t>
      </w:r>
      <w:r>
        <w:rPr/>
        <w:t xml:space="preserve"> sin exponer el documento digital reservado, salvo autorización expresa.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pBdr>
          <w:bottom w:val="single" w:sz="2" w:space="2" w:color="DDD6FE"/>
        </w:pBdr>
        <w:bidi w:val="0"/>
        <w:spacing w:before="280" w:after="120"/>
        <w:ind w:hanging="0" w:start="0" w:end="0"/>
        <w:jc w:val="start"/>
        <w:rPr>
          <w:color w:val="5B21B6"/>
        </w:rPr>
      </w:pPr>
      <w:r>
        <w:rPr>
          <w:color w:val="5B21B6"/>
        </w:rPr>
        <w:t xml:space="preserve">🔗 </w:t>
      </w:r>
      <w:r>
        <w:rPr>
          <w:rFonts w:ascii="Calibri;Arial;sans-serif" w:hAnsi="Calibri;Arial;sans-serif"/>
          <w:color w:val="5B21B6"/>
          <w:sz w:val="32"/>
        </w:rPr>
        <w:t>3. INTEGRACIÓN OPERATIVA SCGCC $\leftrightarrow$ SCMTP (CIERRE DEL CICLO)</w:t>
      </w:r>
    </w:p>
    <w:p>
      <w:pPr>
        <w:pStyle w:val="BodyText"/>
        <w:bidi w:val="0"/>
        <w:spacing w:lineRule="auto" w:line="336" w:before="60" w:after="120"/>
        <w:ind w:hanging="0" w:start="60" w:end="60"/>
        <w:jc w:val="start"/>
        <w:rPr>
          <w:rFonts w:ascii="Calibri;Arial;sans-serif" w:hAnsi="Calibri;Arial;sans-serif"/>
          <w:color w:val="1E293B"/>
          <w:sz w:val="21"/>
        </w:rPr>
      </w:pPr>
      <w:r>
        <w:rPr>
          <w:color w:val="1E293B"/>
          <w:sz w:val="21"/>
        </w:rPr>
        <w:t>El siguiente diagrama detalla cómo la correspondencia recibida en SCGCC se transforma en resultados técnicos y retorna como oficio despachado:</w:t>
      </w:r>
    </w:p>
    <w:p>
      <w:pPr>
        <w:pStyle w:val="BodyText"/>
        <w:bidi w:val="0"/>
        <w:spacing w:before="0" w:after="80"/>
        <w:ind w:hanging="0" w:start="200" w:end="200"/>
        <w:jc w:val="start"/>
        <w:rPr/>
      </w:pPr>
      <w:r>
        <w:rPr>
          <w:rStyle w:val="Strong"/>
          <w:rFonts w:ascii="Consolas;monospace" w:hAnsi="Consolas;monospace"/>
          <w:color w:val="6D28D9"/>
          <w:sz w:val="18"/>
          <w:bdr w:val="single" w:sz="6" w:space="10" w:color="8B5CF6"/>
          <w:shd w:fill="F5F3FF" w:val="clear"/>
        </w:rPr>
        <w:t>[DIAGRAMA DE FLUJO / PROCESO INSTITUCIONAL]</w:t>
      </w: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 xml:space="preserve"> 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</w:pP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>flowchart TD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color w:val="4C1D95"/>
          <w:bdr w:val="single" w:sz="6" w:space="10" w:color="8B5CF6"/>
          <w:shd w:fill="F5F3FF" w:val="clear"/>
        </w:rPr>
      </w:pPr>
      <w:r>
        <w:rPr>
          <w:color w:val="4C1D95"/>
          <w:bdr w:val="single" w:sz="6" w:space="10" w:color="8B5CF6"/>
          <w:shd w:fill="F5F3FF" w:val="clear"/>
        </w:rPr>
        <w:t xml:space="preserve">    </w:t>
      </w: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>A["📨 1. Radicación en SCGCC V1.0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</w:pP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>(Oficio / Memo / 1x10)"] --&gt; B{"¿Requiere Acción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</w:pP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>Operativa / Técnica?"}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color w:val="4C1D95"/>
          <w:bdr w:val="single" w:sz="6" w:space="10" w:color="8B5CF6"/>
          <w:shd w:fill="F5F3FF" w:val="clear"/>
        </w:rPr>
      </w:pPr>
      <w:r>
        <w:rPr>
          <w:color w:val="4C1D95"/>
          <w:bdr w:val="single" w:sz="6" w:space="10" w:color="8B5CF6"/>
          <w:shd w:fill="F5F3FF" w:val="clear"/>
        </w:rPr>
        <w:t xml:space="preserve">    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color w:val="4C1D95"/>
          <w:bdr w:val="single" w:sz="6" w:space="10" w:color="8B5CF6"/>
          <w:shd w:fill="F5F3FF" w:val="clear"/>
        </w:rPr>
      </w:pPr>
      <w:r>
        <w:rPr>
          <w:color w:val="4C1D95"/>
          <w:bdr w:val="single" w:sz="6" w:space="10" w:color="8B5CF6"/>
          <w:shd w:fill="F5F3FF" w:val="clear"/>
        </w:rPr>
        <w:t xml:space="preserve">    </w:t>
      </w: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>B -- "No (Informativo)" --&gt; C["📁 Custodia Digital Automática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</w:pP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>(ISO 15489)"]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color w:val="4C1D95"/>
          <w:bdr w:val="single" w:sz="6" w:space="10" w:color="8B5CF6"/>
          <w:shd w:fill="F5F3FF" w:val="clear"/>
        </w:rPr>
      </w:pPr>
      <w:r>
        <w:rPr>
          <w:color w:val="4C1D95"/>
          <w:bdr w:val="single" w:sz="6" w:space="10" w:color="8B5CF6"/>
          <w:shd w:fill="F5F3FF" w:val="clear"/>
        </w:rPr>
        <w:t xml:space="preserve">    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color w:val="4C1D95"/>
          <w:bdr w:val="single" w:sz="6" w:space="10" w:color="8B5CF6"/>
          <w:shd w:fill="F5F3FF" w:val="clear"/>
        </w:rPr>
      </w:pPr>
      <w:r>
        <w:rPr>
          <w:color w:val="4C1D95"/>
          <w:bdr w:val="single" w:sz="6" w:space="10" w:color="8B5CF6"/>
          <w:shd w:fill="F5F3FF" w:val="clear"/>
        </w:rPr>
        <w:t xml:space="preserve">    </w:t>
      </w: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>B -- "Sí (Instrucción / Evaluación)" --&gt; D["⚡ Derivación a SCMTP V2.0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</w:pP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>(Crea Tarea Técnica con SLA)"]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color w:val="4C1D95"/>
          <w:bdr w:val="single" w:sz="6" w:space="10" w:color="8B5CF6"/>
          <w:shd w:fill="F5F3FF" w:val="clear"/>
        </w:rPr>
      </w:pPr>
      <w:r>
        <w:rPr>
          <w:color w:val="4C1D95"/>
          <w:bdr w:val="single" w:sz="6" w:space="10" w:color="8B5CF6"/>
          <w:shd w:fill="F5F3FF" w:val="clear"/>
        </w:rPr>
        <w:t xml:space="preserve">    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color w:val="4C1D95"/>
          <w:bdr w:val="single" w:sz="6" w:space="10" w:color="8B5CF6"/>
          <w:shd w:fill="F5F3FF" w:val="clear"/>
        </w:rPr>
      </w:pPr>
      <w:r>
        <w:rPr>
          <w:color w:val="4C1D95"/>
          <w:bdr w:val="single" w:sz="6" w:space="10" w:color="8B5CF6"/>
          <w:shd w:fill="F5F3FF" w:val="clear"/>
        </w:rPr>
        <w:t xml:space="preserve">    </w:t>
      </w: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>D --&gt; E["👷 Analista Técnico Ejecuta Tarea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</w:pP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>(Elabora Informe / Dictamen)"]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color w:val="4C1D95"/>
          <w:bdr w:val="single" w:sz="6" w:space="10" w:color="8B5CF6"/>
          <w:shd w:fill="F5F3FF" w:val="clear"/>
        </w:rPr>
      </w:pPr>
      <w:r>
        <w:rPr>
          <w:color w:val="4C1D95"/>
          <w:bdr w:val="single" w:sz="6" w:space="10" w:color="8B5CF6"/>
          <w:shd w:fill="F5F3FF" w:val="clear"/>
        </w:rPr>
        <w:t xml:space="preserve">    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color w:val="4C1D95"/>
          <w:bdr w:val="single" w:sz="6" w:space="10" w:color="8B5CF6"/>
          <w:shd w:fill="F5F3FF" w:val="clear"/>
        </w:rPr>
      </w:pPr>
      <w:r>
        <w:rPr>
          <w:color w:val="4C1D95"/>
          <w:bdr w:val="single" w:sz="6" w:space="10" w:color="8B5CF6"/>
          <w:shd w:fill="F5F3FF" w:val="clear"/>
        </w:rPr>
        <w:t xml:space="preserve">    </w:t>
      </w: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>E --&gt; F["📑 Cierre en SCMTP + Carga de Informe"]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color w:val="4C1D95"/>
          <w:bdr w:val="single" w:sz="6" w:space="10" w:color="8B5CF6"/>
          <w:shd w:fill="F5F3FF" w:val="clear"/>
        </w:rPr>
      </w:pPr>
      <w:r>
        <w:rPr>
          <w:color w:val="4C1D95"/>
          <w:bdr w:val="single" w:sz="6" w:space="10" w:color="8B5CF6"/>
          <w:shd w:fill="F5F3FF" w:val="clear"/>
        </w:rPr>
        <w:t xml:space="preserve">    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color w:val="4C1D95"/>
          <w:bdr w:val="single" w:sz="6" w:space="10" w:color="8B5CF6"/>
          <w:shd w:fill="F5F3FF" w:val="clear"/>
        </w:rPr>
      </w:pPr>
      <w:r>
        <w:rPr>
          <w:color w:val="4C1D95"/>
          <w:bdr w:val="single" w:sz="6" w:space="10" w:color="8B5CF6"/>
          <w:shd w:fill="F5F3FF" w:val="clear"/>
        </w:rPr>
        <w:t xml:space="preserve">    </w:t>
      </w: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>F --&gt; G["✍️ SCGCC: Redacción de Oficio de Respuesta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</w:pP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>(Borrador para el Gerente)"]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color w:val="4C1D95"/>
          <w:bdr w:val="single" w:sz="6" w:space="10" w:color="8B5CF6"/>
          <w:shd w:fill="F5F3FF" w:val="clear"/>
        </w:rPr>
      </w:pPr>
      <w:r>
        <w:rPr>
          <w:color w:val="4C1D95"/>
          <w:bdr w:val="single" w:sz="6" w:space="10" w:color="8B5CF6"/>
          <w:shd w:fill="F5F3FF" w:val="clear"/>
        </w:rPr>
        <w:t xml:space="preserve">    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color w:val="4C1D95"/>
          <w:bdr w:val="single" w:sz="6" w:space="10" w:color="8B5CF6"/>
          <w:shd w:fill="F5F3FF" w:val="clear"/>
        </w:rPr>
      </w:pPr>
      <w:r>
        <w:rPr>
          <w:color w:val="4C1D95"/>
          <w:bdr w:val="single" w:sz="6" w:space="10" w:color="8B5CF6"/>
          <w:shd w:fill="F5F3FF" w:val="clear"/>
        </w:rPr>
        <w:t xml:space="preserve">    </w:t>
      </w: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>G --&gt; H["🖋️ Firma Gerencial &amp; Despacho con Acuse"]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color w:val="4C1D95"/>
          <w:bdr w:val="single" w:sz="6" w:space="10" w:color="8B5CF6"/>
          <w:shd w:fill="F5F3FF" w:val="clear"/>
        </w:rPr>
      </w:pPr>
      <w:r>
        <w:rPr>
          <w:color w:val="4C1D95"/>
          <w:bdr w:val="single" w:sz="6" w:space="10" w:color="8B5CF6"/>
          <w:shd w:fill="F5F3FF" w:val="clear"/>
        </w:rPr>
        <w:t xml:space="preserve">    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color w:val="4C1D95"/>
          <w:bdr w:val="single" w:sz="6" w:space="10" w:color="8B5CF6"/>
          <w:shd w:fill="F5F3FF" w:val="clear"/>
        </w:rPr>
      </w:pPr>
      <w:r>
        <w:rPr>
          <w:color w:val="4C1D95"/>
          <w:bdr w:val="single" w:sz="6" w:space="10" w:color="8B5CF6"/>
          <w:shd w:fill="F5F3FF" w:val="clear"/>
        </w:rPr>
        <w:t xml:space="preserve">    </w:t>
      </w: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>H --&gt; I["✅ Estatus Final: RESPONDIDO &amp; ARCHIVADO"]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pBdr>
          <w:bottom w:val="single" w:sz="2" w:space="2" w:color="DDD6FE"/>
        </w:pBdr>
        <w:bidi w:val="0"/>
        <w:spacing w:before="280" w:after="120"/>
        <w:ind w:hanging="0" w:start="0" w:end="0"/>
        <w:jc w:val="start"/>
        <w:rPr>
          <w:color w:val="5B21B6"/>
        </w:rPr>
      </w:pPr>
      <w:r>
        <w:rPr>
          <w:color w:val="5B21B6"/>
        </w:rPr>
        <w:t xml:space="preserve">📊 </w:t>
      </w:r>
      <w:r>
        <w:rPr>
          <w:rFonts w:ascii="Calibri;Arial;sans-serif" w:hAnsi="Calibri;Arial;sans-serif"/>
          <w:color w:val="5B21B6"/>
          <w:sz w:val="32"/>
        </w:rPr>
        <w:t>4. ESTADO DE AVANCE: LO SOLICITADO VS. LO ENTREGADO</w:t>
      </w:r>
    </w:p>
    <w:tbl>
      <w:tblPr>
        <w:tblW w:w="11339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2015"/>
        <w:gridCol w:w="2562"/>
        <w:gridCol w:w="4261"/>
        <w:gridCol w:w="2501"/>
      </w:tblGrid>
      <w:tr>
        <w:trPr/>
        <w:tc>
          <w:tcPr>
            <w:tcW w:w="2015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Módulo / Requerimiento</w:t>
            </w:r>
          </w:p>
        </w:tc>
        <w:tc>
          <w:tcPr>
            <w:tcW w:w="2562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Alcance Solicitado</w:t>
            </w:r>
          </w:p>
        </w:tc>
        <w:tc>
          <w:tcPr>
            <w:tcW w:w="4261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Estado Actual Entregado</w:t>
            </w:r>
          </w:p>
        </w:tc>
        <w:tc>
          <w:tcPr>
            <w:tcW w:w="2501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Próximo Paso (Continuación)</w:t>
            </w:r>
          </w:p>
        </w:tc>
      </w:tr>
      <w:tr>
        <w:trPr/>
        <w:tc>
          <w:tcPr>
            <w:tcW w:w="2015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:</w:t>
            </w:r>
          </w:p>
          <w:p>
            <w:pPr>
              <w:pStyle w:val="Lneahorizontal"/>
              <w:bidi w:val="0"/>
              <w:spacing w:before="0" w:after="283"/>
              <w:ind w:hanging="0" w:start="0" w:end="0"/>
              <w:jc w:val="start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</w:r>
          </w:p>
        </w:tc>
        <w:tc>
          <w:tcPr>
            <w:tcW w:w="2562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:</w:t>
            </w:r>
          </w:p>
          <w:p>
            <w:pPr>
              <w:pStyle w:val="Lneahorizontal"/>
              <w:bidi w:val="0"/>
              <w:spacing w:before="0" w:after="283"/>
              <w:ind w:hanging="0" w:start="0" w:end="0"/>
              <w:jc w:val="start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</w:r>
          </w:p>
        </w:tc>
        <w:tc>
          <w:tcPr>
            <w:tcW w:w="4261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:</w:t>
            </w:r>
          </w:p>
          <w:p>
            <w:pPr>
              <w:pStyle w:val="Lneahorizontal"/>
              <w:bidi w:val="0"/>
              <w:jc w:val="start"/>
              <w:rPr/>
            </w:pPr>
            <w:r>
              <w:rPr/>
            </w:r>
          </w:p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:</w:t>
            </w:r>
          </w:p>
        </w:tc>
        <w:tc>
          <w:tcPr>
            <w:tcW w:w="2501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:</w:t>
            </w:r>
          </w:p>
          <w:p>
            <w:pPr>
              <w:pStyle w:val="Lneahorizontal"/>
              <w:bidi w:val="0"/>
              <w:spacing w:before="0" w:after="283"/>
              <w:ind w:hanging="0" w:start="0" w:end="0"/>
              <w:jc w:val="start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</w:r>
          </w:p>
        </w:tc>
      </w:tr>
      <w:tr>
        <w:trPr/>
        <w:tc>
          <w:tcPr>
            <w:tcW w:w="2015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  <w:sz w:val="19"/>
              </w:rPr>
              <w:t>Autenticación &amp; Seguridad</w:t>
            </w:r>
          </w:p>
        </w:tc>
        <w:tc>
          <w:tcPr>
            <w:tcW w:w="2562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Acceso seguro corporativo con estándares de la empresa.</w:t>
            </w:r>
          </w:p>
        </w:tc>
        <w:tc>
          <w:tcPr>
            <w:tcW w:w="4261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color w:val="FFFFFF"/>
              </w:rPr>
              <w:t xml:space="preserve">🟢 </w:t>
            </w:r>
            <w:r>
              <w:rPr>
                <w:rStyle w:val="Strong"/>
                <w:b/>
                <w:bCs/>
                <w:color w:val="FFFFFF"/>
                <w:sz w:val="19"/>
              </w:rPr>
              <w:t>100% Entregado</w:t>
            </w:r>
            <w:r>
              <w:rPr>
                <w:b/>
                <w:color w:val="FFFFFF"/>
                <w:sz w:val="19"/>
              </w:rPr>
              <w:t xml:space="preserve"> (Login unificado Grado Industrial SEN, ISO 27001, sin precarga de credenciales).</w:t>
            </w:r>
          </w:p>
        </w:tc>
        <w:tc>
          <w:tcPr>
            <w:tcW w:w="2501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Asignación de roles granulares en base de datos.</w:t>
            </w:r>
          </w:p>
        </w:tc>
      </w:tr>
      <w:tr>
        <w:trPr/>
        <w:tc>
          <w:tcPr>
            <w:tcW w:w="2015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  <w:sz w:val="19"/>
              </w:rPr>
              <w:t>Módulo de Radicación</w:t>
            </w:r>
          </w:p>
        </w:tc>
        <w:tc>
          <w:tcPr>
            <w:tcW w:w="2562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Registro de correspondencia entrante y saliente.</w:t>
            </w:r>
          </w:p>
        </w:tc>
        <w:tc>
          <w:tcPr>
            <w:tcW w:w="4261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color w:val="FFFFFF"/>
              </w:rPr>
              <w:t xml:space="preserve">🟢 </w:t>
            </w:r>
            <w:r>
              <w:rPr>
                <w:rStyle w:val="Strong"/>
                <w:b/>
                <w:bCs/>
                <w:color w:val="FFFFFF"/>
                <w:sz w:val="19"/>
              </w:rPr>
              <w:t>Estructura Diseñada</w:t>
            </w:r>
            <w:r>
              <w:rPr>
                <w:b/>
                <w:color w:val="FFFFFF"/>
                <w:sz w:val="19"/>
              </w:rPr>
              <w:t xml:space="preserve"> (Tabla PostgreSQL </w:t>
            </w:r>
            <w:r>
              <w:rPr>
                <w:rStyle w:val="Textooriginal"/>
                <w:rFonts w:ascii="Consolas;Courier New;monospace" w:hAnsi="Consolas;Courier New;monospace"/>
                <w:b/>
                <w:color w:val="5B21B6"/>
                <w:sz w:val="17"/>
                <w:shd w:fill="EDE9FE" w:val="clear"/>
              </w:rPr>
              <w:t>scgcc.mae_correspondencias</w:t>
            </w:r>
            <w:r>
              <w:rPr>
                <w:b/>
                <w:color w:val="FFFFFF"/>
                <w:sz w:val="19"/>
              </w:rPr>
              <w:t xml:space="preserve"> lista en InsForge BaaS).</w:t>
            </w:r>
          </w:p>
        </w:tc>
        <w:tc>
          <w:tcPr>
            <w:tcW w:w="2501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Mapeo interactivo de formularios de radicación rápida.</w:t>
            </w:r>
          </w:p>
        </w:tc>
      </w:tr>
      <w:tr>
        <w:trPr/>
        <w:tc>
          <w:tcPr>
            <w:tcW w:w="2015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  <w:sz w:val="19"/>
              </w:rPr>
              <w:t>Clasificación por Verbos / Prioridad</w:t>
            </w:r>
          </w:p>
        </w:tc>
        <w:tc>
          <w:tcPr>
            <w:tcW w:w="2562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Priorización de instrucciones del Ministro y Gerente.</w:t>
            </w:r>
          </w:p>
        </w:tc>
        <w:tc>
          <w:tcPr>
            <w:tcW w:w="4261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color w:val="FFFFFF"/>
              </w:rPr>
              <w:t xml:space="preserve">🟢 </w:t>
            </w:r>
            <w:r>
              <w:rPr>
                <w:rStyle w:val="Strong"/>
                <w:b/>
                <w:bCs/>
                <w:color w:val="FFFFFF"/>
                <w:sz w:val="19"/>
              </w:rPr>
              <w:t>Modelo Definido</w:t>
            </w:r>
            <w:r>
              <w:rPr>
                <w:b/>
                <w:color w:val="FFFFFF"/>
                <w:sz w:val="19"/>
              </w:rPr>
              <w:t xml:space="preserve"> (Matriz de 4 niveles de prioridad y verbos de acción).</w:t>
            </w:r>
          </w:p>
        </w:tc>
        <w:tc>
          <w:tcPr>
            <w:tcW w:w="2501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Filtros visuales por semáforo de vencimiento en el Dashboard.</w:t>
            </w:r>
          </w:p>
        </w:tc>
      </w:tr>
      <w:tr>
        <w:trPr/>
        <w:tc>
          <w:tcPr>
            <w:tcW w:w="2015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  <w:sz w:val="19"/>
              </w:rPr>
              <w:t>Custodia de Archivos PDF</w:t>
            </w:r>
          </w:p>
        </w:tc>
        <w:tc>
          <w:tcPr>
            <w:tcW w:w="2562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Destino de archivos y ordenamiento documental.</w:t>
            </w:r>
          </w:p>
        </w:tc>
        <w:tc>
          <w:tcPr>
            <w:tcW w:w="4261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color w:val="FFFFFF"/>
              </w:rPr>
              <w:t xml:space="preserve">🟢 </w:t>
            </w:r>
            <w:r>
              <w:rPr>
                <w:rStyle w:val="Strong"/>
                <w:b/>
                <w:bCs/>
                <w:color w:val="FFFFFF"/>
                <w:sz w:val="19"/>
              </w:rPr>
              <w:t>Arquitectura Aprobada</w:t>
            </w:r>
            <w:r>
              <w:rPr>
                <w:b/>
                <w:color w:val="FFFFFF"/>
                <w:sz w:val="19"/>
              </w:rPr>
              <w:t xml:space="preserve"> (Esquema taxonómico ISO 15489 y soporte Google Drive/Storage).</w:t>
            </w:r>
          </w:p>
        </w:tc>
        <w:tc>
          <w:tcPr>
            <w:tcW w:w="2501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Conexión con el bucket de carga de archivos.</w:t>
            </w:r>
          </w:p>
        </w:tc>
      </w:tr>
      <w:tr>
        <w:trPr/>
        <w:tc>
          <w:tcPr>
            <w:tcW w:w="2015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  <w:sz w:val="19"/>
              </w:rPr>
              <w:t>Derivación de Tareas</w:t>
            </w:r>
          </w:p>
        </w:tc>
        <w:tc>
          <w:tcPr>
            <w:tcW w:w="2562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Enlazar correspondencia con SCMTP.</w:t>
            </w:r>
          </w:p>
        </w:tc>
        <w:tc>
          <w:tcPr>
            <w:tcW w:w="4261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color w:val="FFFFFF"/>
              </w:rPr>
              <w:t xml:space="preserve">🟢 </w:t>
            </w:r>
            <w:r>
              <w:rPr>
                <w:rStyle w:val="Strong"/>
                <w:b/>
                <w:bCs/>
                <w:color w:val="FFFFFF"/>
                <w:sz w:val="19"/>
              </w:rPr>
              <w:t>Modelo Relacional Listo</w:t>
            </w:r>
            <w:r>
              <w:rPr>
                <w:b/>
                <w:color w:val="FFFFFF"/>
                <w:sz w:val="19"/>
              </w:rPr>
              <w:t xml:space="preserve"> (Campos </w:t>
            </w:r>
            <w:r>
              <w:rPr>
                <w:rStyle w:val="Textooriginal"/>
                <w:rFonts w:ascii="Consolas;Courier New;monospace" w:hAnsi="Consolas;Courier New;monospace"/>
                <w:b/>
                <w:color w:val="5B21B6"/>
                <w:sz w:val="17"/>
                <w:shd w:fill="EDE9FE" w:val="clear"/>
              </w:rPr>
              <w:t>tarea_scmtp_id</w:t>
            </w:r>
            <w:r>
              <w:rPr>
                <w:b/>
                <w:color w:val="FFFFFF"/>
                <w:sz w:val="19"/>
              </w:rPr>
              <w:t xml:space="preserve"> y tablas cruzadas preparadas).</w:t>
            </w:r>
          </w:p>
        </w:tc>
        <w:tc>
          <w:tcPr>
            <w:tcW w:w="2501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Webhook de disparo automático de tareas hacia SCMTP.</w:t>
            </w:r>
          </w:p>
        </w:tc>
      </w:tr>
    </w:tbl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pBdr>
          <w:bottom w:val="single" w:sz="2" w:space="2" w:color="DDD6FE"/>
        </w:pBdr>
        <w:bidi w:val="0"/>
        <w:spacing w:before="280" w:after="120"/>
        <w:ind w:hanging="0" w:start="0" w:end="0"/>
        <w:jc w:val="start"/>
        <w:rPr>
          <w:color w:val="5B21B6"/>
        </w:rPr>
      </w:pPr>
      <w:r>
        <w:rPr>
          <w:color w:val="5B21B6"/>
        </w:rPr>
        <w:t xml:space="preserve">🚀 </w:t>
      </w:r>
      <w:r>
        <w:rPr>
          <w:rFonts w:ascii="Calibri;Arial;sans-serif" w:hAnsi="Calibri;Arial;sans-serif"/>
          <w:color w:val="5B21B6"/>
          <w:sz w:val="32"/>
        </w:rPr>
        <w:t>5. ENLACE DE ACCESO AL PROTOTIPO EN VIVO</w:t>
      </w:r>
    </w:p>
    <w:p>
      <w:pPr>
        <w:pStyle w:val="BodyText"/>
        <w:bidi w:val="0"/>
        <w:spacing w:lineRule="auto" w:line="336" w:before="60" w:after="120"/>
        <w:ind w:hanging="0" w:start="60" w:end="60"/>
        <w:jc w:val="start"/>
        <w:rPr/>
      </w:pPr>
      <w:r>
        <w:rPr>
          <w:color w:val="1E293B"/>
          <w:sz w:val="21"/>
        </w:rPr>
        <w:t>Para revisión y pruebas preliminares de la interfaz y el estándar de seguridad:</w:t>
        <w:br/>
        <w:t xml:space="preserve">- </w:t>
      </w:r>
      <w:r>
        <w:rPr>
          <w:rStyle w:val="Strong"/>
          <w:color w:val="1E293B"/>
          <w:sz w:val="21"/>
        </w:rPr>
        <w:t>URL Oficial de Despliegue:</w:t>
      </w:r>
      <w:r>
        <w:rPr>
          <w:color w:val="1E293B"/>
          <w:sz w:val="21"/>
        </w:rPr>
        <w:t xml:space="preserve"> [https://corpoelec-scgcc-corpoelec-ggpd-hosting-apps.vibehost.space](https://corpoelec-scgcc-corpoelec-ggpd-hosting-apps.vibehost.space)</w:t>
        <w:br/>
        <w:t xml:space="preserve">- </w:t>
      </w:r>
      <w:r>
        <w:rPr>
          <w:rStyle w:val="Strong"/>
          <w:color w:val="1E293B"/>
          <w:sz w:val="21"/>
        </w:rPr>
        <w:t>Identidad de Proceso:</w:t>
      </w:r>
      <w:r>
        <w:rPr>
          <w:color w:val="1E293B"/>
          <w:sz w:val="21"/>
        </w:rPr>
        <w:t xml:space="preserve"> </w:t>
      </w:r>
      <w:r>
        <w:rPr>
          <w:rStyle w:val="Textooriginal"/>
          <w:rFonts w:ascii="Consolas;Courier New;monospace" w:hAnsi="Consolas;Courier New;monospace"/>
          <w:color w:val="5B21B6"/>
          <w:sz w:val="17"/>
          <w:shd w:fill="EDE9FE" w:val="clear"/>
        </w:rPr>
        <w:t>PROCESO GGPD-SEC-01 • GESTIÓN DE CORRESPONDENCIA &amp; DESPACHO</w:t>
      </w:r>
      <w:r>
        <w:rPr>
          <w:color w:val="1E293B"/>
          <w:sz w:val="21"/>
        </w:rPr>
        <w:br/>
        <w:t xml:space="preserve">- </w:t>
      </w:r>
      <w:r>
        <w:rPr>
          <w:rStyle w:val="Strong"/>
          <w:color w:val="1E293B"/>
          <w:sz w:val="21"/>
        </w:rPr>
        <w:t>Paleta Institucional:</w:t>
      </w:r>
      <w:r>
        <w:rPr>
          <w:color w:val="1E293B"/>
          <w:sz w:val="21"/>
        </w:rPr>
        <w:t xml:space="preserve"> Púrpura Protocolar / Amatista SEN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6" w:before="60" w:after="120"/>
        <w:ind w:hanging="0" w:start="60" w:end="60"/>
        <w:jc w:val="start"/>
        <w:rPr/>
      </w:pPr>
      <w:r>
        <w:rPr>
          <w:rStyle w:val="Emphasis"/>
          <w:color w:val="1E293B"/>
          <w:sz w:val="21"/>
        </w:rPr>
        <w:t>Documento elaborado por el Equipo de Automatización e Ingeniería de Productos con IA para la Gerencia General de Gestión de Planificación de Distribución (GGPD) — CORPOELEC.</w:t>
      </w:r>
    </w:p>
    <w:sectPr>
      <w:type w:val="nextPage"/>
      <w:pgSz w:w="11906" w:h="16838"/>
      <w:pgMar w:left="1152" w:right="1152" w:gutter="0" w:header="0" w:top="1152" w:footer="0" w:bottom="1152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Arial"/>
    <w:charset w:val="01" w:characterSet="utf-8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Consolas">
    <w:altName w:val="Courier New"/>
    <w:charset w:val="01" w:characterSet="utf-8"/>
    <w:family w:val="auto"/>
    <w:pitch w:val="default"/>
  </w:font>
  <w:font w:name="Consolas">
    <w:altName w:val="monospace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s-V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;sans-serif" w:hAnsi="Calibri;Arial;sans-serif" w:eastAsia="Calibri;Arial;sans-serif" w:cs="Calibri;Arial;sans-serif"/>
      <w:color w:val="auto"/>
      <w:sz w:val="24"/>
      <w:szCs w:val="24"/>
      <w:lang w:val="es-VE" w:eastAsia="zh-CN" w:bidi="hi-IN"/>
    </w:rPr>
  </w:style>
  <w:style w:type="paragraph" w:styleId="Heading1">
    <w:name w:val="heading 1"/>
    <w:basedOn w:val="Ttulo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DejaVu Sans" w:cs="DejaVu Sans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character" w:styleId="Smbolosdenumeracin">
    <w:name w:val="Símbolos de numeración"/>
    <w:qFormat/>
    <w:rPr/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">
    <w:name w:val="List"/>
    <w:basedOn w:val="BodyText"/>
    <w:pPr/>
    <w:rPr/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es-VE</dc:language>
  <cp:lastModifiedBy/>
  <cp:revision>0</cp:revision>
  <dc:subject/>
  <dc:title>SCGCC_DOCFUN_v1_Informe_Avance_Solicitantes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