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rFonts w:ascii="Calibri" w:cs="Calibri" w:eastAsia="Calibri" w:hAnsi="Calibri"/>
          <w:b/>
          <w:bCs/>
          <w:color w:val="002B49"/>
          <w:sz w:val="32"/>
          <w:szCs w:val="32"/>
        </w:rPr>
        <w:t xml:space="preserve">PLAN ESTRATÉGICO Y DE ARQUITECTURA: MÓDULO DE INGESTA INTELIGENTE, CALIDAD DE DATOS (ISO 8000) Y AUTOMATIZACIÓN DE FLUJOS EN EL PORTAL SIGI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DOCUMENTO NORMATIVO: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NAC_2026_GGPD_PLAN_ESTRATEGICO_MODULO_INGESTA_CALIDAD_SIGI_V01.md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NORMA INSTITUCIONAL: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GGPD-SGM-INS-005 (v3.0 ISO) / ISO 8000-110 / ISO 27001:2022 / COBIT 2019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DESTINATARIOS: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Gerente General de Planificación de Distribución | Jefes de División | Líderes Funcionales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ORIGEN: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Área de Innovación, Tecnología y Desarrollo Backend (GGPD)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FECHA DE FORMULACIÓN: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14 de Agosto de 2026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ESTATUS: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Propuesta de Arquitectura y Factibilidad Técnica  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1. RESUMEN EJECUTIVO Y PROPÓSITO ESTRATÉGICO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La Gerencia General de Planificación de Distribución (GGPD) ha propuesto un salto cualitativo trascendental: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transformar el portal SIGI en el Epicentro Inteligente de Ingesta y Calidad de Datos del SEN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erradicando de forma definitiva el tráfico no estructurado de información operativa vía WhatsApp y correo electrónico (*Directiva Zero-WhatsApp / Zero-Email*).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El sistema propuesto no solo centralizará la carga de archivos por proceso y estado, sino que actuará como un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Motor de Inteligencia de Datos (Data Quality Engine)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capaz de: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1. Validar la nomenclatura y estructura de esquemas en caliente.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2. Segregar registros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Conformes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(candidatos de carga) de registros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No Conformes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(aislados en bandeja de remediación).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3. Generar planillas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.xlsx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de corrección inmediata para el usuario estadal.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4. Crear automáticamente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Tareas de Corrección con SLA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en el sistema de gestión de tareas (SCMTP) para medir el desempeño de cada estado.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5. Almacenar la data conformada en una estructura estandarizada en el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Google Drive Oficial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normalizando los nombres de archivos para que las aplicaciones satélites (SCTIS, SCEIN, SCPPE, SCMTP) la consuman de manera transparente.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2. ANÁLISIS DE FACTIBILIDAD TÉCNICA Y EVALUACIÓN CRÍTICA (CUESTIONAMIENTO ESPECIALISTA)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Como especialistas en arquitectura de software y gobierno de datos, evaluamos la solicitud como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100% FACTIBLE, ESTRATÉGICAMENTE ACERTADA Y ALINEADA A MEJORES PRÁCTICAS INTERNACIONALES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 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No obstante, para garantizar su robustez y evitar riesgos operativos, aportamos las siguientes observaciones críticas y mejoras: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⚠️ Observación 1: Integridad Transaccional en Cargas Parciales (Conforme vs. No Conforme)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Desafío: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En procesos como *Tiras de Interrupción (SCTIS)*, un evento mayor de interrupción puede tener múltiples circuitos asociados. Si se aprueba una parte y se rechaza otra, podría fragmentarse el cálculo de Energía No Suministrada (ENS).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Solución Propuesta: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La segregación a nivel de registro aplicará una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regla de atomicidad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Registros independientes (ej. transformadores indisponibles en SCEIN o proyectos en SCPPE) se cargan de forma modular.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Registros con dependencia jerárquica (Cabecera-Detalle) ingresan a un estado de *Pre-Aprobación Condicionada* con advertencia al operador.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⚠️ Observación 2: Prevención de Duplicados en la Re-Carga de Archivos Corregidos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Desafío: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Cuando el usuario estadal descarga el archivo de errores, lo corrige y lo vuelve a subir, existe el riesgo de duplicar la data que ya fue aprobada en la primera carga.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Solución Propuesta: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Implementar un algoritmo de huella digital criptográfica (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SHA-256 Record Fingerprint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 y asignación de identificador único de lote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batch_id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). Al reingresar el archivo corregido, el motor descarta automáticamente los registros ya existentes y absorbe exclusivamente los remediados.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⚠️ Observación 3: Cuotas de Google Drive y Concurrencia de 25 Estados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Desafío: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Si las 25 coordinaciones cargan sus cierres mensuales simultáneamente el día de corte, el Webhook de Google Apps Script podría experimentar latencia o límites de ejecución de 6 minutos.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Solución Propuesta: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El procesamiento pesado (validación sintáctica, parsing y deduplicación) se ejecuta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en el navegador del cliente (Client-Side Worker con Web Streams)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 A Google Drive y a Supabase solo se transmite el payload final limpio y empaquetado, reduciendo el tiempo de ejecución en la nube a menos de 800 milisegundos por estado.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3. ARQUITECTURA DEL FLUJO DE INGESTA INTELIGENTE (6 CAPAS)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00F2FE" w:sz="4"/>
              <w:left w:val="single" w:color="00F2FE" w:sz="16"/>
              <w:bottom w:val="single" w:color="00F2FE" w:sz="4"/>
              <w:right w:val="single" w:color="00F2FE" w:sz="4"/>
            </w:tcBorders>
            <w:shd w:fill="0F172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sequenceDiagram
    autonumber
    actor User as Operador Estadal (coord_*)
    participant SIGI as SIGI Ingestion Engine
    participant QA as ISO 8000 Validator
    participant Drive as Google Drive Data Lake
    participant SCMTP as Gestor de Tareas SCMTP
    participant Supa as Supabase / App Satélite
    User-&gt;&gt;SIGI: Carga Archivo Operativo (.xlsx / .csv)
    Note over SIGI: State-Lock resuelve Estado y Proceso
    SIGI-&gt;&gt;QA: Capa 1: Valida Nomenclatura ISO
    QA--&gt;&gt;SIGI: Alerta: Nombre no cumple / Renombrado auto
    SIGI-&gt;&gt;QA: Capa 2 &amp; 3: Valida Esquema y Filas ISO 8000
    QA--&gt;&gt;SIGI: Resultado: X Conformes / Y No Conformes
    alt Existen Registros No Conformes (Y &gt; 0)
        SIGI-&gt;&gt;User: Genera Planilla Remediación (.xlsx de Errores)
        SIGI-&gt;&gt;SCMTP: Crea Tarea Pendiente con SLA de Corrección
    end
    SIGI-&gt;&gt;Drive: Sube Archivo Conforme con Nombre Normalizado
    SIGI-&gt;&gt;Supa: Ingesta Registros Válidos en samc.activos_red / sctis
    SIGI--&gt;&gt;User: Muestra Resumen de Ingesta y Estatus de Cumplimiento</w:t>
            </w:r>
          </w:p>
        </w:tc>
      </w:tr>
    </w:tbl>
    <w:p>
      <w:pPr>
        <w:spacing w:after="160"/>
      </w:pP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4. MATRIZ DE NOMENCLATURA Y REGLAS DE VALIDACIÓN POR PROCESO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Para que el sistema "aprenda" la estructura de cada aplicación satélite, se definen los siguientes esquemas de validación: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Proceso Operativo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Aplicación Destino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Nomenclatura Oficial ISO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Columnas Obligatorias / Reglas de Conformidad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Tiras de Interrupción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SCTIS V2.0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SCTIS_[ESTADO]_[YYYYMMDD]_V[REV].xlsx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• Fecha/Hora Apertura/Cierre válidas&lt;br&gt;• Código de Circuito existente en catálogo&lt;br&gt;• Causa codificada según norma SEN&lt;br&gt;• MW interrumpidos &gt; 0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Equipos Indisponibles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SCEIN V3.0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SCEIN_[ESTADO]_[YYYYMMDD]_V[REV].xlsx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• Código de Subestación homologado&lt;br&gt;• Tag de Equipo (Transformador, SF6, etc.)&lt;br&gt;• Diagnóstico preliminar no nulo&lt;br&gt;• Estatus de indisponibilidad válido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Planes y Viáticos SAMC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SCPPE V3.0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SCPPE_[ESTADO]_[YYYYMMDD]_V[REV].xlsx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• Código Proyecto POA/PRTSEN&lt;br&gt;• Partida presupuestaria válida&lt;br&gt;• Monto en Bs. y Divisas positivo&lt;br&gt;• Cédula y cargo del comisionado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Minutas y Tareas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SCMTP V2.0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SCMTP_[ESTADO]_[YYYYMMDD]_V[REV].xlsx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• Título de compromiso&lt;br&gt;• Responsable asignado&lt;br&gt;• Fecha límite de cumplimiento&lt;br&gt;• Estado (Pendiente / En Proceso)</w:t>
            </w:r>
          </w:p>
        </w:tc>
      </w:tr>
    </w:tbl>
    <w:p>
      <w:pPr>
        <w:spacing w:after="180"/>
      </w:pP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5. ESTRUCTURA NORMALIZADA DE CARPETAS EN GOOGLE DRIVE (DATA LAKE SEN)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La carpeta raíz institucional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bk.ggpd.corpoelec@gmail.com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/ ID: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1mnnChue2IUqOh5Or99_v2LiJ3TaRJvy7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 se estructurará de forma jerárquica y determinística: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00F2FE" w:sz="4"/>
              <w:left w:val="single" w:color="00F2FE" w:sz="16"/>
              <w:bottom w:val="single" w:color="00F2FE" w:sz="4"/>
              <w:right w:val="single" w:color="00F2FE" w:sz="4"/>
            </w:tcBorders>
            <w:shd w:fill="0F172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📁 GGPD_DATA_LAKE_OFICIAL (Raíz ID: 1mnnChue2IUqOh5Or99_v2LiJ3TaRJvy7)
│
├── 📁 01_DCA_DISTRITO_CAPITAL/
│   ├── 📁 01_SCTIS_INTERRUPCIONES/
│   │   └── 📁 2026/
│   │       ├── 📁 08_AGOSTO/
│   │       │   ├── 📄 SCTIS_DCA_20260814_SEM32_V01.xlsx (Conforme)
│   │       │   └── 📄 SCTIS_DCA_20260814_SEM32_REMEDIACION.xlsx (Errores)
│   │       └── 📁 09_SEPTIEMBRE/
│   ├── 📁 02_SCEIN_INDISPONIBLES/
│   │   └── 📁 2026/
│   ├── 📁 03_SCPPE_PROYECTOS_VIATICOS/
│   │   └── 📁 2026/
│   └── 📁 04_SCMTP_MINUTAS_COMPROMISOS/
│       └── 📁 2026/
│
├── 📁 02_MIR_MIRANDA/
│   └── ... (Misma estructura de 4 procesos)
│
├── 📁 03_LGU_LA_GUAIRA/
│   └── ...
│
... (25 Carpetas Estadales hasta 25_GEQ_GUAYANA_ESEQUIBA)
│
└── 📁 99_CONSOLIDADOS_NACIONALES/
    ├── 📁 REPORTES_EJECUTIVOS_MPPEE/
    └── 📁 MATRICES_DEDUPLICADAS_ISO8000/</w:t>
            </w:r>
          </w:p>
        </w:tc>
      </w:tr>
    </w:tbl>
    <w:p>
      <w:pPr>
        <w:spacing w:after="160"/>
      </w:pP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6. CONTROL DE PLAZOS Y CRONOGRAMA DE CONTROL OPERATIVO (SLAs)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Para medir el desempeño estadal y registrar indicadores en el tablero de control gerencial, se formalizan las siguientes ventanas de recepción: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00F2FE" w:sz="4"/>
              <w:left w:val="single" w:color="00F2FE" w:sz="16"/>
              <w:bottom w:val="single" w:color="00F2FE" w:sz="4"/>
              <w:right w:val="single" w:color="00F2FE" w:sz="4"/>
            </w:tcBorders>
            <w:shd w:fill="0F172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CRONOGRAMA DE CONTROL OPERATIVO:
┌─────────────────────────────────────────────────────────────────────────────┐
│ 📅 CARGAS SEMANALES (Todos los Procesos):                                  │
│    • Apertura de Ventana: Miércoles 08:00 AM                                │
│    • Límite Ordinario: Jueves 12:00 PM (Mediodía)                           │
│    • Ventana Extraordinaria con Alerta SCMTP: Jueves 05:00 PM               │
├─────────────────────────────────────────────────────────────────────────────┤
│ 📊 CIERRES MENSUALES DE CONSOLIDACIÓN:                                      │
│    • Fecha Límite: 3er Día Hábil del mes posterior al cierre (03 o 3er DL)  │
│    • Generación de Acta de Consolidación Nacional: 4to Día Hábil            │
└─────────────────────────────────────────────────────────────────────────────┘</w:t>
            </w:r>
          </w:p>
        </w:tc>
      </w:tr>
    </w:tbl>
    <w:p>
      <w:pPr>
        <w:spacing w:after="160"/>
      </w:pP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Indicador de Desempeño Estadal (OTQR - On-Time Quality Rate):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$$OTQR = \left( \frac{\text{Registros Conformes a Tiempo}}{\text{Total Registros Exigidos}} \right) \times 100$$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Verde (Óptimo):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$\ge 95\%$ de registros conformes cargados dentro del plazo.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Amarillo (Alerta):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$80\% - 94\%$ o entrega en ventana extraordinaria.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Rojo (Crítico):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$&lt; 80\%$ o registros no conformes sin subsanar tras 48 horas.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7. ESTRATEGIA DE TRANSICIÓN Y "PUENTE INTELIGENTE" (REDIRECCIÓN ASISTIDA)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Para evitar la resistencia al cambio y garantizar una adopción fluida sin fricción en los operadores estadales, la transición no se basará en un "bloqueo ciego", sino en un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Puente Inteligente Institucional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: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1.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Banner de Redirección Asistida en Apps Satélites: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Al presionar "Cargar Datos" en SCTIS, SCEIN o SCPPE, la app desplegará una notificación moderna: *"La carga oficial del SEN ha sido centralizada y certificada en el SIGI bajo norma ISO 8000"*.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Un botón directo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[Validar y Cargar en SIGI]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redirige al operador mediante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Deep-Link SSO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pre-seleccionando automáticamente su estado y el proceso correspondiente sin requerir re-autenticación.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2.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Separación de Responsabilidades: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SIGI: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Ingesta masiva semanal/mensual, validación sintáctica ISO 8000, respaldo en Google Drive y tareas de remediación.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Apps Satélites: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Análisis de indicadores, mapas geográficos especializados y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edición fina de registros individuales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autorizados.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3.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Interruptor de Contingencia (*Feature Flag*):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Variable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VITE_CENTRALIZED_INGESTION_ENABLED=true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que permite a la Gerencia General habilitar la carga de emergencia local en menos de 5 segundos ante cualquier eventualidad de red.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8. APROVISIONAMIENTO AUTOMATIZADO DE NUEVOS PROCESOS EN GOOGLE DRIVE (DYNAMIC PROVISIONING)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El SIGI implementará un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Meta-Catálogo Dinámico de Procesos y Esquemas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(ej. *SC de Pica y Poda*, *SC de Desmalezamiento*, *SC de Transformadores Fallados*):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00F2FE" w:sz="4"/>
              <w:left w:val="single" w:color="00F2FE" w:sz="16"/>
              <w:bottom w:val="single" w:color="00F2FE" w:sz="4"/>
              <w:right w:val="single" w:color="00F2FE" w:sz="4"/>
            </w:tcBorders>
            <w:shd w:fill="0F172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graph LR
    A[Admin registra Nuevo Proceso en SIGI ej. SCPYP] --&gt; B[Guarda JSON Schema y Reglas ISO]
    B --&gt; C[Dispara Webhook Google Apps Script]
    C --&gt; D[Crea carpetas 05_SCPYP en los 25 Estados en Google Drive en &lt;3 seg]
    D --&gt; E[Renderiza automáticamente Tarjeta de Carga y Dashboards en SIGI]</w:t>
            </w:r>
          </w:p>
        </w:tc>
      </w:tr>
    </w:tbl>
    <w:p>
      <w:pPr>
        <w:spacing w:after="160"/>
      </w:pP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Capacidades del Aprovisionamiento Dinámico: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1.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Creación Automática del Árbol en Google Drive: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Al registrar el código de proceso (ej.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SCPYP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), el webhook de Google Drive genera en lote las subcarpetas para los 25 estados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/01_DCA/.../05_SCPYP_PICA_Y_PODA/2026/08_AGOSTO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 de forma inmediata.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2.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Definición de Reglas de Negocio sin Código (No-Code Schemas):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El administrador define en un formulario visual las columnas requeridas (ej. Kms podados, Hectáreas desmalezadas, Capacidad KVA, Serial) y el validador ISO 8000 las aplica en caliente.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3.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Zero-Downtime: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No requiere recompilar ni redesplegar la aplicación.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9. RECOMENDACIÓN ARQUITECTÓNICA: ¿APPS INDEPENDIENTES O MÓDULOS EN SIGI?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Veredicto y Recomendación de Especialistas: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RECOMENDAMOS EL MODELO HÍBRIDO "4 COLUMNAS ESTRATÉGICAS + MÓDULOS DINÁMICOS EN SIGI"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Criterio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Opción A: Crear 1 App Separada por cada Proceso (20+ Apps)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Opción B: Módulos Dinámicos Nativos en SIGI (Recomendada)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Experiencia de Usuario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Fragmentada ("Carnaval de URLs y Logins").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Unificada: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Un solo punto de acceso y control.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Mantenimiento Técnico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Elevadísimo (20 servidores, 20 repositorios, 20 despliegues).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Óptimo: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Un solo núcleo con dashboards configurables.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Velocidad de Salida (Time-to-Market)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Semanas por cada proceso nuevo.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Minutos: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Solo definir el esquema de datos y el proceso queda activo.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Escalabilidad Futura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Difícil de gobernar.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Si un módulo crece y requiere simulación compleja (ej. topología GIS avanzada), se promueve a app satélite.</w:t>
            </w:r>
          </w:p>
        </w:tc>
      </w:tr>
    </w:tbl>
    <w:p>
      <w:pPr>
        <w:spacing w:after="180"/>
      </w:pP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10. PLAN DE IMPLEMENTACIÓN Y FASES DE DESARROLLO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Para no interferir con el inicio programado de la fase de QA de las aplicaciones existentes, el desarrollo del Módulo de Ingesta Inteligente se estructurará en cuatro (4) sprints: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00F2FE" w:sz="4"/>
              <w:left w:val="single" w:color="00F2FE" w:sz="16"/>
              <w:bottom w:val="single" w:color="00F2FE" w:sz="4"/>
              <w:right w:val="single" w:color="00F2FE" w:sz="4"/>
            </w:tcBorders>
            <w:shd w:fill="0F172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CRONOGRAMA DE IMPLEMENTACIÓN:
Sprint 1: UI del Módulo de Carga en SIGI (Tarjetas por Proceso y Drag &amp; Drop)
Sprint 2: Motor de Validación Sintáctica ISO 8000 y Generador de Excel de Remediación
Sprint 3: Integración Google Apps Script (Árbol 25 Estados) y Webhook de Tareas SCMTP
Sprint 4: Aprovisionamiento Dinámico de Nuevos Procesos y Puentes Inteligentes en Apps Satélites</w:t>
            </w:r>
          </w:p>
        </w:tc>
      </w:tr>
    </w:tbl>
    <w:p>
      <w:pPr>
        <w:spacing w:after="16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Fase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Entregable Principal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Duración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Fase I: Interfaz &amp; Schemas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Componente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DataIngestionHub.tsx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en SIGI con validación de esquemas JSON/Excel.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3 Días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Fase II: Motor de Calidad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Separador Conforme/No Conforme + Exportador Excel de Remediación con columnas de error.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4 Días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Fase III: Storage &amp; Tareas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Script Google Apps Script con estructura de 25 estados + Webhook de creación de tareas en SCMTP.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3 Días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Fase IV: Aprovisionamiento &amp; Puentes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Constructor de Nuevos Procesos + Banners de Redirección Inteligente en SCTIS/SCEIN/SCPPE.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3 Días</w:t>
            </w:r>
          </w:p>
        </w:tc>
      </w:tr>
    </w:tbl>
    <w:p>
      <w:pPr>
        <w:spacing w:after="180"/>
      </w:pP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11. CONCLUSIÓN Y RECOMENDACIÓN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La implementación de este módulo convierte al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SIGI en la aduana digital única y definitiva de CORPOELEC (GGPD)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cerrando la brecha de errores humanos, estandarizando la calidad del dato antes de su almacenamiento y automatizando el seguimiento de compromisos a nivel territorial.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Recomendamos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aprobar este plan conceptual y de arquitectura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para proceder a su construcción modular sin alterar la estabilidad de las aplicaciones satélites ya desplegadas.</w:t>
      </w:r>
    </w:p>
    <w:p>
      <w:pPr>
        <w:pBdr>
          <w:bottom w:val="single" w:color="CBD5E1" w:sz="6" w:space="1"/>
        </w:pBdr>
        <w:spacing w:after="120" w:before="120"/>
      </w:pP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Atentamente,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Área de Innovación, Tecnología y Desarrollo Backend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 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Gerencia General de Planificación de Distribución (GGPD) — CORPOELEC  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*Norma de Documentación Institucional GGPD-SGM-INS-005 (v3.0 ISO)*  </w:t>
      </w:r>
    </w:p>
    <w:sectPr>
      <w:headerReference w:type="default" r:id="rId7"/>
      <w:footerReference w:type="default" r:id="rId8"/>
      <w:pgSz w:w="12240" w:h="15840" w:orient="landscape"/>
      <w:pgMar w:top="864" w:right="1008" w:bottom="864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100"/>
      <w:gridCol w:w="100"/>
    </w:tblGrid>
    <w:tr>
      <w:tc>
        <w:tcPr>
          <w:tcW w:type="pct" w:w="70%"/>
          <w:tcBorders>
            <w:top w:val="single" w:color="CBD5E1" w:sz="4"/>
          </w:tcBorders>
        </w:tcPr>
        <w:p>
          <w:r>
            <w:rPr>
              <w:color w:val="64748B"/>
              <w:sz w:val="16"/>
              <w:szCs w:val="16"/>
            </w:rPr>
            <w:t xml:space="preserve">CONFIDENCIAL · Cumplimiento ISO/IEC 27001:2022 &amp; COBIT 2019 · República Bolivariana de Venezuela</w:t>
          </w:r>
        </w:p>
      </w:tc>
      <w:tc>
        <w:tcPr>
          <w:tcW w:type="pct" w:w="30%"/>
          <w:tcBorders>
            <w:top w:val="single" w:color="CBD5E1" w:sz="4"/>
          </w:tcBorders>
        </w:tcPr>
        <w:p>
          <w:pPr>
            <w:jc w:val="right"/>
          </w:pPr>
          <w:r>
            <w:rPr>
              <w:color w:val="64748B"/>
              <w:sz w:val="16"/>
              <w:szCs w:val="16"/>
            </w:rPr>
            <w:t xml:space="preserve">Página </w:t>
          </w:r>
          <w:r>
            <w:rPr>
              <w:b/>
              <w:bCs/>
              <w:color w:val="002B49"/>
              <w:sz w:val="16"/>
              <w:szCs w:val="16"/>
            </w:rPr>
            <w:fldChar w:fldCharType="begin"/>
            <w:instrText xml:space="preserve">PAGE</w:instrText>
            <w:fldChar w:fldCharType="separate"/>
            <w:fldChar w:fldCharType="end"/>
          </w:r>
          <w:r>
            <w:rPr>
              <w:color w:val="64748B"/>
              <w:sz w:val="16"/>
              <w:szCs w:val="16"/>
            </w:rPr>
            <w:t xml:space="preserve"> de </w:t>
          </w:r>
          <w:r>
            <w:rPr>
              <w:b/>
              <w:bCs/>
              <w:color w:val="002B49"/>
              <w:sz w:val="16"/>
              <w:szCs w:val="16"/>
            </w:rPr>
            <w:fldChar w:fldCharType="begin"/>
            <w:instrText xml:space="preserve">NUMPAGES</w:instrText>
            <w:fldChar w:fldCharType="separate"/>
            <w:fldChar w:fldCharType="end"/>
          </w:r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pct" w:w="100%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100"/>
      <w:gridCol w:w="100"/>
    </w:tblGrid>
    <w:tr>
      <w:tc>
        <w:tcPr>
          <w:tcW w:type="pct" w:w="60%"/>
          <w:tcBorders>
            <w:bottom w:val="single" w:color="002B49" w:sz="6"/>
          </w:tcBorders>
        </w:tcPr>
        <w:p>
          <w:r>
            <w:rPr>
              <w:b/>
              <w:bCs/>
              <w:color w:val="002B49"/>
              <w:sz w:val="18"/>
              <w:szCs w:val="18"/>
            </w:rPr>
            <w:t xml:space="preserve">CORPOELEC · </w:t>
          </w:r>
          <w:r>
            <w:rPr>
              <w:color w:val="475569"/>
              <w:sz w:val="18"/>
              <w:szCs w:val="18"/>
            </w:rPr>
            <w:t xml:space="preserve">Gerencia General de Planificación de Distribución (GGPD)</w:t>
          </w:r>
        </w:p>
      </w:tc>
      <w:tc>
        <w:tcPr>
          <w:tcW w:type="pct" w:w="40%"/>
          <w:tcBorders>
            <w:bottom w:val="single" w:color="002B49" w:sz="6"/>
          </w:tcBorders>
        </w:tcPr>
        <w:p>
          <w:pPr>
            <w:jc w:val="right"/>
          </w:pPr>
          <w:r>
            <w:rPr>
              <w:b/>
              <w:bCs/>
              <w:color w:val="004488"/>
              <w:sz w:val="16"/>
              <w:szCs w:val="16"/>
            </w:rPr>
            <w:t xml:space="preserve">NORMA GGPD-SGM-INS-005 (v3.0 ISO)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E293B"/>
        <w:sz w:val="21"/>
        <w:szCs w:val="21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NAC_2026_GGPD_PLAN_ESTRATEGICO_MODULO_INGESTA_CALIDAD_SIGI_V01</dc:title>
  <dc:creator>Un-named</dc:creator>
  <dc:description>Documento Oficial CORPOELEC - GGPD bajo norma GGPD-SGM-INS-005 (v3.0 ISO)</dc:description>
  <cp:lastModifiedBy>Un-named</cp:lastModifiedBy>
  <cp:revision>1</cp:revision>
  <dcterms:created xsi:type="dcterms:W3CDTF">2026-08-16T01:00:12.151Z</dcterms:created>
  <dcterms:modified xsi:type="dcterms:W3CDTF">2026-08-16T01:00:12.151Z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