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B3A5C"/>
          <w:sz w:val="52"/>
          <w:szCs w:val="52"/>
        </w:rPr>
        <w:t xml:space="preserve">CE AGENTS</w:t>
      </w:r>
    </w:p>
    <w:p>
      <w:pPr>
        <w:spacing w:after="80"/>
        <w:jc w:val="center"/>
      </w:pPr>
      <w:r>
        <w:rPr>
          <w:rFonts w:ascii="Arial" w:cs="Arial" w:eastAsia="Arial" w:hAnsi="Arial"/>
          <w:color w:val="2E75B6"/>
          <w:sz w:val="32"/>
          <w:szCs w:val="32"/>
        </w:rPr>
        <w:t xml:space="preserve">Research-to-Product Integration Plan</w:t>
      </w:r>
    </w:p>
    <w:p>
      <w:pPr>
        <w:spacing w:after="400"/>
        <w:jc w:val="center"/>
      </w:pPr>
      <w:r>
        <w:rPr>
          <w:rFonts w:ascii="Arial" w:cs="Arial" w:eastAsia="Arial" w:hAnsi="Arial"/>
          <w:i/>
          <w:iCs/>
          <w:color w:val="666666"/>
          <w:sz w:val="24"/>
          <w:szCs w:val="24"/>
        </w:rPr>
        <w:t xml:space="preserve">What the Research Says, What the Roadmap Needs, and What to Build Next</w:t>
      </w:r>
    </w:p>
    <w:p>
      <w:pPr>
        <w:pBdr>
          <w:top w:val="single" w:color="2E75B6" w:sz="4" w:space="8"/>
          <w:bottom w:val="single" w:color="2E75B6" w:sz="4" w:space="8"/>
        </w:pBdr>
        <w:spacing w:after="200" w:before="200"/>
        <w:jc w:val="center"/>
      </w:pPr>
      <w:r>
        <w:rPr>
          <w:rFonts w:ascii="Arial" w:cs="Arial" w:eastAsia="Arial" w:hAnsi="Arial"/>
          <w:color w:val="666666"/>
          <w:sz w:val="22"/>
          <w:szCs w:val="22"/>
        </w:rPr>
        <w:t xml:space="preserve">March 2026 | Internal Working Document</w:t>
      </w:r>
    </w:p>
    <w:p>
      <w:pPr>
        <w:spacing w:before="600"/>
      </w:pPr>
    </w:p>
    <w:p>
      <w:pPr>
        <w:spacing w:after="80"/>
        <w:jc w:val="center"/>
      </w:pPr>
      <w:r>
        <w:rPr>
          <w:rFonts w:ascii="Arial" w:cs="Arial" w:eastAsia="Arial" w:hAnsi="Arial"/>
          <w:color w:val="666666"/>
          <w:sz w:val="20"/>
          <w:szCs w:val="20"/>
        </w:rPr>
        <w:t xml:space="preserve">Based on analysis of 16 research papers, the CE Agents Roadmap,</w:t>
      </w:r>
    </w:p>
    <w:p>
      <w:pPr>
        <w:spacing w:after="80"/>
        <w:jc w:val="center"/>
      </w:pPr>
      <w:r>
        <w:rPr>
          <w:rFonts w:ascii="Arial" w:cs="Arial" w:eastAsia="Arial" w:hAnsi="Arial"/>
          <w:color w:val="666666"/>
          <w:sz w:val="20"/>
          <w:szCs w:val="20"/>
        </w:rPr>
        <w:t xml:space="preserve">the v2 Replication Study, the DGM Evolution Plan,</w:t>
      </w:r>
    </w:p>
    <w:p>
      <w:pPr>
        <w:jc w:val="center"/>
      </w:pPr>
      <w:r>
        <w:rPr>
          <w:rFonts w:ascii="Arial" w:cs="Arial" w:eastAsia="Arial" w:hAnsi="Arial"/>
          <w:color w:val="666666"/>
          <w:sz w:val="20"/>
          <w:szCs w:val="20"/>
        </w:rPr>
        <w:t xml:space="preserve">and the Unfair Advantage Ranking.</w:t>
      </w:r>
    </w:p>
    <w:p>
      <w:r>
        <w:br w:type="page"/>
      </w:r>
    </w:p>
    <w:p>
      <w:pPr>
        <w:pStyle w:val="Heading1"/>
        <w:spacing w:after="200" w:before="360"/>
      </w:pPr>
      <w:r>
        <w:rPr>
          <w:rFonts w:ascii="Arial" w:cs="Arial" w:eastAsia="Arial" w:hAnsi="Arial"/>
          <w:b/>
          <w:bCs/>
          <w:color w:val="1B3A5C"/>
          <w:sz w:val="36"/>
          <w:szCs w:val="36"/>
        </w:rPr>
        <w:t xml:space="preserve">Executive Summary</w:t>
      </w:r>
    </w:p>
    <w:p>
      <w:pPr>
        <w:spacing w:after="160"/>
      </w:pPr>
      <w:r>
        <w:rPr>
          <w:rFonts w:ascii="Arial" w:cs="Arial" w:eastAsia="Arial" w:hAnsi="Arial"/>
          <w:color w:val="333333"/>
          <w:sz w:val="22"/>
          <w:szCs w:val="22"/>
        </w:rPr>
        <w:t xml:space="preserve">Your v2 replication study changed the calculus. Synthesis is now the default winner (4.74/5.0), not debate (4.40). But debate retains a unique strength: tension surfacing (+0.41 gap over baseline dimensions). The Organizational Physics paper explains </w:t>
      </w:r>
      <w:r>
        <w:rPr>
          <w:rFonts w:ascii="Arial" w:cs="Arial" w:eastAsia="Arial" w:hAnsi="Arial"/>
          <w:i/>
          <w:iCs/>
          <w:color w:val="333333"/>
          <w:sz w:val="22"/>
          <w:szCs w:val="22"/>
        </w:rPr>
        <w:t xml:space="preserve">why</w:t>
      </w:r>
      <w:r>
        <w:rPr>
          <w:rFonts w:ascii="Arial" w:cs="Arial" w:eastAsia="Arial" w:hAnsi="Arial"/>
          <w:color w:val="333333"/>
          <w:sz w:val="22"/>
          <w:szCs w:val="22"/>
        </w:rPr>
        <w:t xml:space="preserve"> coordination architectures fail in predictable, substrate-independent ways. The DGM paper shows how to make protocols self-improving. And your own Unfair Advantage Ranking identified 8 research-backed moves ranked by impact, feasibility, and defensibility.</w:t>
      </w:r>
    </w:p>
    <w:p>
      <w:pPr>
        <w:spacing w:after="160"/>
      </w:pPr>
      <w:r>
        <w:rPr>
          <w:rFonts w:ascii="Arial" w:cs="Arial" w:eastAsia="Arial" w:hAnsi="Arial"/>
          <w:color w:val="333333"/>
          <w:sz w:val="22"/>
          <w:szCs w:val="22"/>
        </w:rPr>
        <w:t xml:space="preserve">This document synthesizes all of that into a single prioritized action plan that layers onto your existing roadmap. The core thesis: your most defensible position is not having 64 protocols. It is having </w:t>
      </w:r>
      <w:r>
        <w:rPr>
          <w:rFonts w:ascii="Arial" w:cs="Arial" w:eastAsia="Arial" w:hAnsi="Arial"/>
          <w:i/>
          <w:iCs/>
          <w:color w:val="333333"/>
          <w:sz w:val="22"/>
          <w:szCs w:val="22"/>
        </w:rPr>
        <w:t xml:space="preserve">empirical proof of which protocol to use when, and measurable evidence that the output is better than single-agent alternatives.</w:t>
      </w:r>
    </w:p>
    <w:p>
      <w:pPr>
        <w:spacing w:after="160"/>
      </w:pPr>
      <w:r>
        <w:rPr>
          <w:rFonts w:ascii="Arial" w:cs="Arial" w:eastAsia="Arial" w:hAnsi="Arial"/>
          <w:color w:val="333333"/>
          <w:sz w:val="22"/>
          <w:szCs w:val="22"/>
        </w:rPr>
        <w:t xml:space="preserve">The plan is organized into three horizons: what to change immediately based on the v2 findings, what to build in the next 2-4 weeks to capture medium-term advantages, and what to architect for the 6+ month strategic moat.</w:t>
      </w:r>
    </w:p>
    <w:p>
      <w:pPr>
        <w:pBdr>
          <w:bottom w:val="single" w:color="2E75B6" w:sz="6" w:space="1"/>
        </w:pBdr>
        <w:spacing w:after="200" w:before="200"/>
      </w:pPr>
    </w:p>
    <w:p>
      <w:pPr>
        <w:pStyle w:val="Heading1"/>
        <w:spacing w:after="200" w:before="360"/>
      </w:pPr>
      <w:r>
        <w:rPr>
          <w:rFonts w:ascii="Arial" w:cs="Arial" w:eastAsia="Arial" w:hAnsi="Arial"/>
          <w:b/>
          <w:bCs/>
          <w:color w:val="1B3A5C"/>
          <w:sz w:val="36"/>
          <w:szCs w:val="36"/>
        </w:rPr>
        <w:t xml:space="preserve">1. The v2 Findings Rewrite the Adaptive Router</w:t>
      </w:r>
    </w:p>
    <w:p>
      <w:pPr>
        <w:spacing w:after="160"/>
      </w:pPr>
      <w:r>
        <w:rPr>
          <w:rFonts w:ascii="Arial" w:cs="Arial" w:eastAsia="Arial" w:hAnsi="Arial"/>
          <w:color w:val="333333"/>
          <w:sz w:val="22"/>
          <w:szCs w:val="22"/>
        </w:rPr>
        <w:t xml:space="preserve">Your replication study produced the single most important finding for product direction: when tool access is equalized, synthesis beats debate by 0.34 points on overall score. This reversal means the adaptive router (P0a) needs to be recalibrated around a new default hierarchy.</w:t>
      </w:r>
    </w:p>
    <w:p>
      <w:pPr>
        <w:pStyle w:val="Heading2"/>
        <w:spacing w:after="160" w:before="280"/>
      </w:pPr>
      <w:r>
        <w:rPr>
          <w:rFonts w:ascii="Arial" w:cs="Arial" w:eastAsia="Arial" w:hAnsi="Arial"/>
          <w:b/>
          <w:bCs/>
          <w:color w:val="2E75B6"/>
          <w:sz w:val="28"/>
          <w:szCs w:val="28"/>
        </w:rPr>
        <w:t xml:space="preserve">1.1 The New Architecture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Architecture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v2 Score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Rank</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Use Case (from dimension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Synthesis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3D"/>
                <w:sz w:val="20"/>
                <w:szCs w:val="20"/>
              </w:rPr>
              <w:t xml:space="preserve">4.74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1st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for all parallelizable problems. Dominates specificity (4.9), internal consistency (5.0), actionability (5.0), completeness (4.8).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Negotiate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4.60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2nd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Problems with explicit trade-offs between stakeholders. Strong on constraint awareness (4.7) and actionability (4.7).</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Debate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3rd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Problems requiring adversarial stress-testing. Leads on tension surfacing (4.7) and has the largest coordination-vs-baseline gap (+0.41).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Single+Context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4.24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4th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Quick-turn questions where latency matters more than depth. Surprisingly strong baseline.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Single Agent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3.77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5th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Never preferred. Consistently worst on every dimension.</w:t>
            </w:r>
          </w:p>
        </w:tc>
      </w:tr>
    </w:tbl>
    <w:p>
      <w:pPr>
        <w:spacing w:after="160"/>
      </w:pPr>
    </w:p>
    <w:p>
      <w:pPr>
        <w:pStyle w:val="Heading2"/>
        <w:spacing w:after="160" w:before="280"/>
      </w:pPr>
      <w:r>
        <w:rPr>
          <w:rFonts w:ascii="Arial" w:cs="Arial" w:eastAsia="Arial" w:hAnsi="Arial"/>
          <w:b/>
          <w:bCs/>
          <w:color w:val="2E75B6"/>
          <w:sz w:val="28"/>
          <w:szCs w:val="28"/>
        </w:rPr>
        <w:t xml:space="preserve">1.2 The Complementarity Finding</w:t>
      </w:r>
    </w:p>
    <w:p>
      <w:pPr>
        <w:spacing w:after="160"/>
      </w:pPr>
      <w:r>
        <w:rPr>
          <w:rFonts w:ascii="Arial" w:cs="Arial" w:eastAsia="Arial" w:hAnsi="Arial"/>
          <w:color w:val="333333"/>
          <w:sz w:val="22"/>
          <w:szCs w:val="22"/>
        </w:rPr>
        <w:t xml:space="preserve">The most actionable finding from the v2 study is not which mode wins overall. It is that </w:t>
      </w:r>
      <w:r>
        <w:rPr>
          <w:rFonts w:ascii="Arial" w:cs="Arial" w:eastAsia="Arial" w:hAnsi="Arial"/>
          <w:b/>
          <w:bCs/>
          <w:color w:val="333333"/>
          <w:sz w:val="22"/>
          <w:szCs w:val="22"/>
        </w:rPr>
        <w:t xml:space="preserve">debate produces deeper analysis while synthesis produces more actionable output.</w:t>
      </w:r>
      <w:r>
        <w:rPr>
          <w:rFonts w:ascii="Arial" w:cs="Arial" w:eastAsia="Arial" w:hAnsi="Arial"/>
          <w:color w:val="333333"/>
          <w:sz w:val="22"/>
          <w:szCs w:val="22"/>
        </w:rPr>
        <w:t xml:space="preserve"> Debate leads on coordination-dependent dimensions (+0.41 gap) while synthesis leads on baseline dimensions (4.90 vs 4.17). These are complementary strengths.</w:t>
      </w:r>
    </w:p>
    <w:p>
      <w:pPr>
        <w:spacing w:after="160"/>
      </w:pPr>
      <w:r>
        <w:rPr>
          <w:rFonts w:ascii="Arial" w:cs="Arial" w:eastAsia="Arial" w:hAnsi="Arial"/>
          <w:color w:val="333333"/>
          <w:sz w:val="22"/>
          <w:szCs w:val="22"/>
        </w:rPr>
        <w:t xml:space="preserve">This directly validates Unfair Advantage #5 from your ranking: Hybrid Protocol Composition. The data says you should feed debate's tension surfacing into synthesis's action planning. The implementation is a Hegel-reframe-to-Debate pipeline, or more practically, a Debate-to-Synthesis pipeline where debate's dissent log becomes synthesis's constraint set.</w:t>
      </w:r>
    </w:p>
    <w:p>
      <w:pPr>
        <w:pStyle w:val="Heading2"/>
        <w:spacing w:after="160" w:before="280"/>
      </w:pPr>
      <w:r>
        <w:rPr>
          <w:rFonts w:ascii="Arial" w:cs="Arial" w:eastAsia="Arial" w:hAnsi="Arial"/>
          <w:b/>
          <w:bCs/>
          <w:color w:val="2E75B6"/>
          <w:sz w:val="28"/>
          <w:szCs w:val="28"/>
        </w:rPr>
        <w:t xml:space="preserve">1.3 Immediate Actions for the Router</w:t>
      </w:r>
    </w:p>
    <w:p>
      <w:pPr>
        <w:pStyle w:val="ListParagraph"/>
        <w:numPr>
          <w:ilvl w:val="0"/>
          <w:numId w:val="2"/>
        </w:numPr>
        <w:spacing w:after="80"/>
      </w:pPr>
      <w:r>
        <w:rPr>
          <w:rFonts w:ascii="Arial" w:cs="Arial" w:eastAsia="Arial" w:hAnsi="Arial"/>
          <w:b/>
          <w:bCs/>
          <w:color w:val="333333"/>
          <w:sz w:val="22"/>
          <w:szCs w:val="22"/>
        </w:rPr>
        <w:t xml:space="preserve">Change the default architecture from debate to synthesis in P0a.</w:t>
      </w:r>
      <w:r>
        <w:rPr>
          <w:rFonts w:ascii="Arial" w:cs="Arial" w:eastAsia="Arial" w:hAnsi="Arial"/>
          <w:color w:val="333333"/>
          <w:sz w:val="22"/>
          <w:szCs w:val="22"/>
        </w:rPr>
        <w:t xml:space="preserve"> Synthesis should be the fallback when the router cannot confidently classify the problem type.</w:t>
      </w:r>
    </w:p>
    <w:p>
      <w:pPr>
        <w:pStyle w:val="ListParagraph"/>
        <w:numPr>
          <w:ilvl w:val="0"/>
          <w:numId w:val="2"/>
        </w:numPr>
        <w:spacing w:after="80"/>
      </w:pPr>
      <w:r>
        <w:rPr>
          <w:rFonts w:ascii="Arial" w:cs="Arial" w:eastAsia="Arial" w:hAnsi="Arial"/>
          <w:b/>
          <w:bCs/>
          <w:color w:val="333333"/>
          <w:sz w:val="22"/>
          <w:szCs w:val="22"/>
        </w:rPr>
        <w:t xml:space="preserve">Route to debate only when the problem type involves adversarial stress-testing, assumption challenge, or risk analysis.</w:t>
      </w:r>
      <w:r>
        <w:rPr>
          <w:rFonts w:ascii="Arial" w:cs="Arial" w:eastAsia="Arial" w:hAnsi="Arial"/>
          <w:color w:val="333333"/>
          <w:sz w:val="22"/>
          <w:szCs w:val="22"/>
        </w:rPr>
        <w:t xml:space="preserve"> These are the cases where tension surfacing's +0.41 coordination gap justifies the lower actionability score.</w:t>
      </w:r>
    </w:p>
    <w:p>
      <w:pPr>
        <w:pStyle w:val="ListParagraph"/>
        <w:numPr>
          <w:ilvl w:val="0"/>
          <w:numId w:val="2"/>
        </w:numPr>
        <w:spacing w:after="80"/>
      </w:pPr>
      <w:r>
        <w:rPr>
          <w:rFonts w:ascii="Arial" w:cs="Arial" w:eastAsia="Arial" w:hAnsi="Arial"/>
          <w:b/>
          <w:bCs/>
          <w:color w:val="333333"/>
          <w:sz w:val="22"/>
          <w:szCs w:val="22"/>
        </w:rPr>
        <w:t xml:space="preserve">Route to negotiate when the problem involves explicit multi-stakeholder trade-offs</w:t>
      </w:r>
      <w:r>
        <w:rPr>
          <w:rFonts w:ascii="Arial" w:cs="Arial" w:eastAsia="Arial" w:hAnsi="Arial"/>
          <w:color w:val="333333"/>
          <w:sz w:val="22"/>
          <w:szCs w:val="22"/>
        </w:rPr>
        <w:t xml:space="preserve"> (resource allocation, pricing decisions, scope negotiations). Negotiate tied synthesis on constraint awareness (4.7) and is second on actionability (4.7).</w:t>
      </w:r>
    </w:p>
    <w:p>
      <w:pPr>
        <w:pStyle w:val="ListParagraph"/>
        <w:numPr>
          <w:ilvl w:val="0"/>
          <w:numId w:val="2"/>
        </w:numPr>
        <w:spacing w:after="80"/>
      </w:pPr>
      <w:r>
        <w:rPr>
          <w:rFonts w:ascii="Arial" w:cs="Arial" w:eastAsia="Arial" w:hAnsi="Arial"/>
          <w:b/>
          <w:bCs/>
          <w:color w:val="333333"/>
          <w:sz w:val="22"/>
          <w:szCs w:val="22"/>
        </w:rPr>
        <w:t xml:space="preserve">Wire in the replication study's task decomposability metrics</w:t>
      </w:r>
      <w:r>
        <w:rPr>
          <w:rFonts w:ascii="Arial" w:cs="Arial" w:eastAsia="Arial" w:hAnsi="Arial"/>
          <w:color w:val="333333"/>
          <w:sz w:val="22"/>
          <w:szCs w:val="22"/>
        </w:rPr>
        <w:t xml:space="preserve"> (from Unfair Advantage #1). The predictive model's features (tool count, decomposability, sequential dependencies) can be computed from the problem description and used as router inputs.</w:t>
      </w:r>
    </w:p>
    <w:p>
      <w:r>
        <w:br w:type="page"/>
      </w:r>
    </w:p>
    <w:p>
      <w:pPr>
        <w:pStyle w:val="Heading1"/>
        <w:spacing w:after="200" w:before="360"/>
      </w:pPr>
      <w:r>
        <w:rPr>
          <w:rFonts w:ascii="Arial" w:cs="Arial" w:eastAsia="Arial" w:hAnsi="Arial"/>
          <w:b/>
          <w:bCs/>
          <w:color w:val="1B3A5C"/>
          <w:sz w:val="36"/>
          <w:szCs w:val="36"/>
        </w:rPr>
        <w:t xml:space="preserve">2. Build Anti-Dysfunction Mechanisms Into Protocol Design</w:t>
      </w:r>
    </w:p>
    <w:p>
      <w:pPr>
        <w:spacing w:after="160"/>
      </w:pPr>
      <w:r>
        <w:rPr>
          <w:rFonts w:ascii="Arial" w:cs="Arial" w:eastAsia="Arial" w:hAnsi="Arial"/>
          <w:color w:val="333333"/>
          <w:sz w:val="22"/>
          <w:szCs w:val="22"/>
        </w:rPr>
        <w:t xml:space="preserve">The McEntire paper (Organizational Physics of Multi-Agent AI) establishes that coordination dysfunction is substrate-independent. The same failure modes that plague human organizations emerge in AI multi-agent systems through identical mathematical mechanisms: Crawford-Sobel signal degradation, Goodhart's Law proxy failure, and Data Processing Inequality information loss.</w:t>
      </w:r>
    </w:p>
    <w:p>
      <w:pPr>
        <w:spacing w:after="160"/>
      </w:pPr>
      <w:r>
        <w:rPr>
          <w:rFonts w:ascii="Arial" w:cs="Arial" w:eastAsia="Arial" w:hAnsi="Arial"/>
          <w:color w:val="333333"/>
          <w:sz w:val="22"/>
          <w:szCs w:val="22"/>
        </w:rPr>
        <w:t xml:space="preserve">This is directly relevant to your platform because it means your protocols are vulnerable to the same dysfunctions regardless of how good the underlying LLM is. The paper identifies six specific failure modes with formal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Failure Mode</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Protocol Risk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Bikeshedding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Agents spend tokens on trivial surface-level issues, skip hard structural ones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Debate protocols may produce lengthy rebuttals on minor points while ignoring the core strategic tension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Governance Conflict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Hierarchical coordinator overrules valid specialist analysis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Synthesis pass may flatten dissent that should survive into the final output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Signal Degradation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Each communication layer loses information (Crawford-Sobel)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Multi-stage protocols (Hegel's 3 passes, Debate's rebuttals) compound information loss at each handoff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Proxy Optimization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Agents optimize for judge rubric rather than genuine quality (Goodhart)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Self-improving protocols (DGM evolution) will optimize prompts toward rubric scores, not actual insight quality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Drift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converges on internally consistent but externally disconnected frame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Hegel's dialectic synthesis may produce internally beautiful frameworks disconnected from operational reality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Adverse Selection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Cheap, confident outputs crowd out careful, hedged ones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Agents that produce decisive-sounding recommendations score higher than agents that surface genuine uncertainty</w:t>
            </w:r>
          </w:p>
        </w:tc>
      </w:tr>
    </w:tbl>
    <w:p>
      <w:pPr>
        <w:spacing w:after="160"/>
      </w:pPr>
    </w:p>
    <w:p>
      <w:pPr>
        <w:pStyle w:val="Heading2"/>
        <w:spacing w:after="160" w:before="280"/>
      </w:pPr>
      <w:r>
        <w:rPr>
          <w:rFonts w:ascii="Arial" w:cs="Arial" w:eastAsia="Arial" w:hAnsi="Arial"/>
          <w:b/>
          <w:bCs/>
          <w:color w:val="2E75B6"/>
          <w:sz w:val="28"/>
          <w:szCs w:val="28"/>
        </w:rPr>
        <w:t xml:space="preserve">2.1 What to Build</w:t>
      </w:r>
    </w:p>
    <w:p>
      <w:pPr>
        <w:spacing w:after="160"/>
      </w:pPr>
      <w:r>
        <w:rPr>
          <w:rFonts w:ascii="Arial" w:cs="Arial" w:eastAsia="Arial" w:hAnsi="Arial"/>
          <w:b/>
          <w:bCs/>
          <w:color w:val="333333"/>
          <w:sz w:val="22"/>
          <w:szCs w:val="22"/>
        </w:rPr>
        <w:t xml:space="preserve">Anti-dysfunction monitors integrated into the judge rubric. </w:t>
      </w:r>
      <w:r>
        <w:rPr>
          <w:rFonts w:ascii="Arial" w:cs="Arial" w:eastAsia="Arial" w:hAnsi="Arial"/>
          <w:color w:val="333333"/>
          <w:sz w:val="22"/>
          <w:szCs w:val="22"/>
        </w:rPr>
        <w:t xml:space="preserve">McEntire's paper found that even explicit anti-dysfunction mechanisms failed because the dysfunction migrated to the meta-level (the mechanisms produced the dysfunction they were designed to prevent). The solution is not more rules. It is </w:t>
      </w:r>
      <w:r>
        <w:rPr>
          <w:rFonts w:ascii="Arial" w:cs="Arial" w:eastAsia="Arial" w:hAnsi="Arial"/>
          <w:i/>
          <w:iCs/>
          <w:color w:val="333333"/>
          <w:sz w:val="22"/>
          <w:szCs w:val="22"/>
        </w:rPr>
        <w:t xml:space="preserve">measurement.</w:t>
      </w:r>
      <w:r>
        <w:rPr>
          <w:rFonts w:ascii="Arial" w:cs="Arial" w:eastAsia="Arial" w:hAnsi="Arial"/>
          <w:color w:val="333333"/>
          <w:sz w:val="22"/>
          <w:szCs w:val="22"/>
        </w:rPr>
        <w:t xml:space="preserve"> Add dysfunction detection to your emergence rubric:</w:t>
      </w:r>
    </w:p>
    <w:p>
      <w:pPr>
        <w:pStyle w:val="ListParagraph"/>
        <w:numPr>
          <w:ilvl w:val="0"/>
          <w:numId w:val="2"/>
        </w:numPr>
        <w:spacing w:after="80"/>
      </w:pPr>
      <w:r>
        <w:rPr>
          <w:rFonts w:ascii="Arial" w:cs="Arial" w:eastAsia="Arial" w:hAnsi="Arial"/>
          <w:b/>
          <w:bCs/>
          <w:color w:val="333333"/>
          <w:sz w:val="22"/>
          <w:szCs w:val="22"/>
        </w:rPr>
        <w:t xml:space="preserve">Bikeshedding detector: </w:t>
      </w:r>
      <w:r>
        <w:rPr>
          <w:rFonts w:ascii="Arial" w:cs="Arial" w:eastAsia="Arial" w:hAnsi="Arial"/>
          <w:color w:val="333333"/>
          <w:sz w:val="22"/>
          <w:szCs w:val="22"/>
        </w:rPr>
        <w:t xml:space="preserve">Ratio of tokens spent on surface-level observations versus structural analysis. Flag protocols where &gt;60% of agent output addresses formatting, wording, or easily-resolved items.</w:t>
      </w:r>
    </w:p>
    <w:p>
      <w:pPr>
        <w:pStyle w:val="ListParagraph"/>
        <w:numPr>
          <w:ilvl w:val="0"/>
          <w:numId w:val="2"/>
        </w:numPr>
        <w:spacing w:after="80"/>
      </w:pPr>
      <w:r>
        <w:rPr>
          <w:rFonts w:ascii="Arial" w:cs="Arial" w:eastAsia="Arial" w:hAnsi="Arial"/>
          <w:b/>
          <w:bCs/>
          <w:color w:val="333333"/>
          <w:sz w:val="22"/>
          <w:szCs w:val="22"/>
        </w:rPr>
        <w:t xml:space="preserve">Dissent survival rate: </w:t>
      </w:r>
      <w:r>
        <w:rPr>
          <w:rFonts w:ascii="Arial" w:cs="Arial" w:eastAsia="Arial" w:hAnsi="Arial"/>
          <w:color w:val="333333"/>
          <w:sz w:val="22"/>
          <w:szCs w:val="22"/>
        </w:rPr>
        <w:t xml:space="preserve">Track which agent perspectives survive into the synthesis output. If the synthesis pass consistently drops one agent's viewpoint, the governance conflict is active.</w:t>
      </w:r>
    </w:p>
    <w:p>
      <w:pPr>
        <w:pStyle w:val="ListParagraph"/>
        <w:numPr>
          <w:ilvl w:val="0"/>
          <w:numId w:val="2"/>
        </w:numPr>
        <w:spacing w:after="80"/>
      </w:pPr>
      <w:r>
        <w:rPr>
          <w:rFonts w:ascii="Arial" w:cs="Arial" w:eastAsia="Arial" w:hAnsi="Arial"/>
          <w:b/>
          <w:bCs/>
          <w:color w:val="333333"/>
          <w:sz w:val="22"/>
          <w:szCs w:val="22"/>
        </w:rPr>
        <w:t xml:space="preserve">Uncertainty calibration: </w:t>
      </w:r>
      <w:r>
        <w:rPr>
          <w:rFonts w:ascii="Arial" w:cs="Arial" w:eastAsia="Arial" w:hAnsi="Arial"/>
          <w:color w:val="333333"/>
          <w:sz w:val="22"/>
          <w:szCs w:val="22"/>
        </w:rPr>
        <w:t xml:space="preserve">Score whether agents appropriately hedge when evidence is thin. Counter adverse selection by rewarding well-calibrated uncertainty over false confidence.</w:t>
      </w:r>
    </w:p>
    <w:p>
      <w:pPr>
        <w:pStyle w:val="ListParagraph"/>
        <w:numPr>
          <w:ilvl w:val="0"/>
          <w:numId w:val="2"/>
        </w:numPr>
        <w:spacing w:after="80"/>
      </w:pPr>
      <w:r>
        <w:rPr>
          <w:rFonts w:ascii="Arial" w:cs="Arial" w:eastAsia="Arial" w:hAnsi="Arial"/>
          <w:b/>
          <w:bCs/>
          <w:color w:val="333333"/>
          <w:sz w:val="22"/>
          <w:szCs w:val="22"/>
        </w:rPr>
        <w:t xml:space="preserve">Information decay metric: </w:t>
      </w:r>
      <w:r>
        <w:rPr>
          <w:rFonts w:ascii="Arial" w:cs="Arial" w:eastAsia="Arial" w:hAnsi="Arial"/>
          <w:color w:val="333333"/>
          <w:sz w:val="22"/>
          <w:szCs w:val="22"/>
        </w:rPr>
        <w:t xml:space="preserve">Compare the information density (unique claims, specific numbers, named constraints) at each stage of a multi-pass protocol. If density drops &gt;30% between stages, signal degradation is occurring.</w:t>
      </w:r>
    </w:p>
    <w:p>
      <w:pPr>
        <w:spacing w:after="160"/>
      </w:pPr>
      <w:r>
        <w:rPr>
          <w:rFonts w:ascii="Arial" w:cs="Arial" w:eastAsia="Arial" w:hAnsi="Arial"/>
          <w:color w:val="333333"/>
          <w:sz w:val="22"/>
          <w:szCs w:val="22"/>
        </w:rPr>
        <w:t xml:space="preserve">These four metrics become guardrails for the DGM evolution system. Prompt variants that improve judge scores while worsening dysfunction metrics get flagged for human review rather than auto-promoted. This directly addresses the Goodhart risk the DGM plan identified.</w:t>
      </w:r>
    </w:p>
    <w:p>
      <w:r>
        <w:br w:type="page"/>
      </w:r>
    </w:p>
    <w:p>
      <w:pPr>
        <w:pStyle w:val="Heading1"/>
        <w:spacing w:after="200" w:before="360"/>
      </w:pPr>
      <w:r>
        <w:rPr>
          <w:rFonts w:ascii="Arial" w:cs="Arial" w:eastAsia="Arial" w:hAnsi="Arial"/>
          <w:b/>
          <w:bCs/>
          <w:color w:val="1B3A5C"/>
          <w:sz w:val="36"/>
          <w:szCs w:val="36"/>
        </w:rPr>
        <w:t xml:space="preserve">3. Implement Adaptive Cognitive Depth (Think Fast and Slow)</w:t>
      </w:r>
    </w:p>
    <w:p>
      <w:pPr>
        <w:spacing w:after="160"/>
      </w:pPr>
      <w:r>
        <w:rPr>
          <w:rFonts w:ascii="Arial" w:cs="Arial" w:eastAsia="Arial" w:hAnsi="Arial"/>
          <w:color w:val="333333"/>
          <w:sz w:val="22"/>
          <w:szCs w:val="22"/>
        </w:rPr>
        <w:t xml:space="preserve">Unfair Advantage #3 from your ranking. The CogRouter paper demonstrated an 82.3% success rate with 62% fewer tokens by dynamically assigning one of four cognitive levels per step. Your protocols currently use a binary split: Opus for thinking, Haiku for mechanical work. The research says this leaves significant cost savings on the table.</w:t>
      </w:r>
    </w:p>
    <w:p>
      <w:pPr>
        <w:pStyle w:val="Heading2"/>
        <w:spacing w:after="160" w:before="280"/>
      </w:pPr>
      <w:r>
        <w:rPr>
          <w:rFonts w:ascii="Arial" w:cs="Arial" w:eastAsia="Arial" w:hAnsi="Arial"/>
          <w:b/>
          <w:bCs/>
          <w:color w:val="2E75B6"/>
          <w:sz w:val="28"/>
          <w:szCs w:val="28"/>
        </w:rPr>
        <w:t xml:space="preserve">3.1 The Four-Tier Model Applied to Your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400"/>
        <w:gridCol w:w="1400"/>
        <w:gridCol w:w="21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Cognitive Type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Protocol Step Examples</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Cost Impact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Pattern Match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Deduplication, format extraction, metadata tagging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Haiku</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Baseline (cheapest)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Rule-Based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Constraint extraction, stakeholder mapping, categorization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Haiku</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Same as L1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Analytical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Evidence weighing, trade-off analysis, scoring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Sonnet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~3x L1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Creative/Strategic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Novel reframing, paradigm synthesis, contrarian thesis generation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Opus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~15x L1</w:t>
            </w:r>
          </w:p>
        </w:tc>
      </w:tr>
    </w:tbl>
    <w:p>
      <w:pPr>
        <w:spacing w:after="160"/>
      </w:pPr>
    </w:p>
    <w:p>
      <w:pPr>
        <w:spacing w:after="160"/>
      </w:pPr>
      <w:r>
        <w:rPr>
          <w:rFonts w:ascii="Arial" w:cs="Arial" w:eastAsia="Arial" w:hAnsi="Arial"/>
          <w:b/>
          <w:bCs/>
          <w:color w:val="333333"/>
          <w:sz w:val="22"/>
          <w:szCs w:val="22"/>
        </w:rPr>
        <w:t xml:space="preserve">Estimated cost reduction: 40-60% per protocol run with no quality loss on mechanical steps. </w:t>
      </w:r>
      <w:r>
        <w:rPr>
          <w:rFonts w:ascii="Arial" w:cs="Arial" w:eastAsia="Arial" w:hAnsi="Arial"/>
          <w:color w:val="333333"/>
          <w:sz w:val="22"/>
          <w:szCs w:val="22"/>
        </w:rPr>
        <w:t xml:space="preserve">This is a direct client value proposition. A protocol run that currently costs $12-15 could drop to $5-8 while maintaining the same emergence scores on the creative/strategic stages.</w:t>
      </w:r>
    </w:p>
    <w:p>
      <w:pPr>
        <w:pStyle w:val="Heading2"/>
        <w:spacing w:after="160" w:before="280"/>
      </w:pPr>
      <w:r>
        <w:rPr>
          <w:rFonts w:ascii="Arial" w:cs="Arial" w:eastAsia="Arial" w:hAnsi="Arial"/>
          <w:b/>
          <w:bCs/>
          <w:color w:val="2E75B6"/>
          <w:sz w:val="28"/>
          <w:szCs w:val="28"/>
        </w:rPr>
        <w:t xml:space="preserve">3.2 Implementation</w:t>
      </w:r>
    </w:p>
    <w:p>
      <w:pPr>
        <w:spacing w:after="160"/>
      </w:pPr>
      <w:r>
        <w:rPr>
          <w:rFonts w:ascii="Arial" w:cs="Arial" w:eastAsia="Arial" w:hAnsi="Arial"/>
          <w:color w:val="333333"/>
          <w:sz w:val="22"/>
          <w:szCs w:val="22"/>
        </w:rPr>
        <w:t xml:space="preserve">Add a cognitive_level field to each stage in the protocol orchestrator. Start with the three protocols you run most frequently (likely P04 Debate, P06 TRIZ, and whichever synthesis protocol handles the DFW-type reports). Map each stage to L1-L4, swap the model accordingly, and compare emergence scores. If scores hold, roll out to all 64 protocols.</w:t>
      </w:r>
    </w:p>
    <w:p>
      <w:r>
        <w:br w:type="page"/>
      </w:r>
    </w:p>
    <w:p>
      <w:pPr>
        <w:pStyle w:val="Heading1"/>
        <w:spacing w:after="200" w:before="360"/>
      </w:pPr>
      <w:r>
        <w:rPr>
          <w:rFonts w:ascii="Arial" w:cs="Arial" w:eastAsia="Arial" w:hAnsi="Arial"/>
          <w:b/>
          <w:bCs/>
          <w:color w:val="1B3A5C"/>
          <w:sz w:val="36"/>
          <w:szCs w:val="36"/>
        </w:rPr>
        <w:t xml:space="preserve">4. Self-Improving Protocols (DGM Evolution)</w:t>
      </w:r>
    </w:p>
    <w:p>
      <w:pPr>
        <w:spacing w:after="160"/>
      </w:pPr>
      <w:r>
        <w:rPr>
          <w:rFonts w:ascii="Arial" w:cs="Arial" w:eastAsia="Arial" w:hAnsi="Arial"/>
          <w:color w:val="333333"/>
          <w:sz w:val="22"/>
          <w:szCs w:val="22"/>
        </w:rPr>
        <w:t xml:space="preserve">Your DGM-Protocol-Evolution-Plan is well-scoped. The key additions based on the full research review are:</w:t>
      </w:r>
    </w:p>
    <w:p>
      <w:pPr>
        <w:pStyle w:val="Heading2"/>
        <w:spacing w:after="160" w:before="280"/>
      </w:pPr>
      <w:r>
        <w:rPr>
          <w:rFonts w:ascii="Arial" w:cs="Arial" w:eastAsia="Arial" w:hAnsi="Arial"/>
          <w:b/>
          <w:bCs/>
          <w:color w:val="2E75B6"/>
          <w:sz w:val="28"/>
          <w:szCs w:val="28"/>
        </w:rPr>
        <w:t xml:space="preserve">4.1 Start With Synthesis, Not Debate</w:t>
      </w:r>
    </w:p>
    <w:p>
      <w:pPr>
        <w:spacing w:after="160"/>
      </w:pPr>
      <w:r>
        <w:rPr>
          <w:rFonts w:ascii="Arial" w:cs="Arial" w:eastAsia="Arial" w:hAnsi="Arial"/>
          <w:b w:val="false"/>
          <w:bCs w:val="false"/>
          <w:color w:val="333333"/>
          <w:sz w:val="22"/>
          <w:szCs w:val="22"/>
        </w:rPr>
        <w:t xml:space="preserve">The plan recommends starting with P04 (Debate) and P06 (TRIZ). Given the v2 findings, </w:t>
      </w:r>
      <w:r>
        <w:rPr>
          <w:rFonts w:ascii="Arial" w:cs="Arial" w:eastAsia="Arial" w:hAnsi="Arial"/>
          <w:b/>
          <w:bCs/>
          <w:color w:val="333333"/>
          <w:sz w:val="22"/>
          <w:szCs w:val="22"/>
        </w:rPr>
        <w:t xml:space="preserve">start with whatever synthesis protocol you use most and P06 (TRIZ).</w:t>
      </w:r>
      <w:r>
        <w:rPr>
          <w:rFonts w:ascii="Arial" w:cs="Arial" w:eastAsia="Arial" w:hAnsi="Arial"/>
          <w:color w:val="333333"/>
          <w:sz w:val="22"/>
          <w:szCs w:val="22"/>
        </w:rPr>
        <w:t xml:space="preserve"> Synthesis is now your default architecture. Improving its prompts has the highest leverage because every unrouted question flows through it.</w:t>
      </w:r>
    </w:p>
    <w:p>
      <w:pPr>
        <w:pStyle w:val="Heading2"/>
        <w:spacing w:after="160" w:before="280"/>
      </w:pPr>
      <w:r>
        <w:rPr>
          <w:rFonts w:ascii="Arial" w:cs="Arial" w:eastAsia="Arial" w:hAnsi="Arial"/>
          <w:b/>
          <w:bCs/>
          <w:color w:val="2E75B6"/>
          <w:sz w:val="28"/>
          <w:szCs w:val="28"/>
        </w:rPr>
        <w:t xml:space="preserve">4.2 Add Dysfunction Metrics to Fitness</w:t>
      </w:r>
    </w:p>
    <w:p>
      <w:pPr>
        <w:spacing w:after="160"/>
      </w:pPr>
      <w:r>
        <w:rPr>
          <w:rFonts w:ascii="Arial" w:cs="Arial" w:eastAsia="Arial" w:hAnsi="Arial"/>
          <w:color w:val="333333"/>
          <w:sz w:val="22"/>
          <w:szCs w:val="22"/>
        </w:rPr>
        <w:t xml:space="preserve">The DGM plan correctly identifies objective hacking as a risk. The Organizational Physics paper gives you the specific dysfunction signatures to monitor. Add the four dysfunction metrics (bikeshedding, dissent survival, uncertainty calibration, information decay) as negative fitness signals. A variant that improves judge scores by 0.2 but increases bikeshedding by 30% should not be promoted.</w:t>
      </w:r>
    </w:p>
    <w:p>
      <w:pPr>
        <w:pStyle w:val="Heading2"/>
        <w:spacing w:after="160" w:before="280"/>
      </w:pPr>
      <w:r>
        <w:rPr>
          <w:rFonts w:ascii="Arial" w:cs="Arial" w:eastAsia="Arial" w:hAnsi="Arial"/>
          <w:b/>
          <w:bCs/>
          <w:color w:val="2E75B6"/>
          <w:sz w:val="28"/>
          <w:szCs w:val="28"/>
        </w:rPr>
        <w:t xml:space="preserve">4.3 Use the Complementarity Finding for Cross-Protocol Evolution</w:t>
      </w:r>
    </w:p>
    <w:p>
      <w:pPr>
        <w:spacing w:after="160"/>
      </w:pPr>
      <w:r>
        <w:rPr>
          <w:rFonts w:ascii="Arial" w:cs="Arial" w:eastAsia="Arial" w:hAnsi="Arial"/>
          <w:color w:val="333333"/>
          <w:sz w:val="22"/>
          <w:szCs w:val="22"/>
        </w:rPr>
        <w:t xml:space="preserve">The v2 study revealed that debate and synthesis have complementary strengths. The evolution system should eventually support cross-protocol breeding: take debate's tension-surfacing prompts and inject their structural patterns into synthesis prompts. This is how you get both deep analysis and actionable output from a single protocol variant.</w:t>
      </w:r>
    </w:p>
    <w:p>
      <w:pPr>
        <w:pStyle w:val="Heading2"/>
        <w:spacing w:after="160" w:before="280"/>
      </w:pPr>
      <w:r>
        <w:rPr>
          <w:rFonts w:ascii="Arial" w:cs="Arial" w:eastAsia="Arial" w:hAnsi="Arial"/>
          <w:b/>
          <w:bCs/>
          <w:color w:val="2E75B6"/>
          <w:sz w:val="28"/>
          <w:szCs w:val="28"/>
        </w:rPr>
        <w:t xml:space="preserve">4.4 Budget Recommendation</w:t>
      </w:r>
    </w:p>
    <w:p>
      <w:pPr>
        <w:spacing w:after="160"/>
      </w:pPr>
      <w:r>
        <w:rPr>
          <w:rFonts w:ascii="Arial" w:cs="Arial" w:eastAsia="Arial" w:hAnsi="Arial"/>
          <w:b w:val="false"/>
          <w:bCs w:val="false"/>
          <w:color w:val="333333"/>
          <w:sz w:val="22"/>
          <w:szCs w:val="22"/>
        </w:rPr>
        <w:t xml:space="preserve">Start at the moderate tier ($200-500) as the plan suggests. </w:t>
      </w:r>
      <w:r>
        <w:rPr>
          <w:rFonts w:ascii="Arial" w:cs="Arial" w:eastAsia="Arial" w:hAnsi="Arial"/>
          <w:b/>
          <w:bCs/>
          <w:color w:val="333333"/>
          <w:sz w:val="22"/>
          <w:szCs w:val="22"/>
        </w:rPr>
        <w:t xml:space="preserve">But spend it on synthesis evolution first, not debate.</w:t>
      </w:r>
      <w:r>
        <w:rPr>
          <w:rFonts w:ascii="Arial" w:cs="Arial" w:eastAsia="Arial" w:hAnsi="Arial"/>
          <w:color w:val="333333"/>
          <w:sz w:val="22"/>
          <w:szCs w:val="22"/>
        </w:rPr>
        <w:t xml:space="preserve"> You'll get more ROI from improving the architecture that handles 70%+ of questions than from improving the one that handles tension-surfacing edge cases.</w:t>
      </w:r>
    </w:p>
    <w:p>
      <w:r>
        <w:br w:type="page"/>
      </w:r>
    </w:p>
    <w:p>
      <w:pPr>
        <w:pStyle w:val="Heading1"/>
        <w:spacing w:after="200" w:before="360"/>
      </w:pPr>
      <w:r>
        <w:rPr>
          <w:rFonts w:ascii="Arial" w:cs="Arial" w:eastAsia="Arial" w:hAnsi="Arial"/>
          <w:b/>
          <w:bCs/>
          <w:color w:val="1B3A5C"/>
          <w:sz w:val="36"/>
          <w:szCs w:val="36"/>
        </w:rPr>
        <w:t xml:space="preserve">5. Build the Composite Orchestrator</w:t>
      </w:r>
    </w:p>
    <w:p>
      <w:pPr>
        <w:spacing w:after="160"/>
      </w:pPr>
      <w:r>
        <w:rPr>
          <w:rFonts w:ascii="Arial" w:cs="Arial" w:eastAsia="Arial" w:hAnsi="Arial"/>
          <w:color w:val="333333"/>
          <w:sz w:val="22"/>
          <w:szCs w:val="22"/>
        </w:rPr>
        <w:t xml:space="preserve">Unfair Advantage #5, now backed by v2 data. The complementarity finding gives you the empirical basis for chaining protocols: use debate to surface tensions, then feed the dissent log into synthesis to produce actionable plans that account for those tensions.</w:t>
      </w:r>
    </w:p>
    <w:p>
      <w:pPr>
        <w:pStyle w:val="Heading2"/>
        <w:spacing w:after="160" w:before="280"/>
      </w:pPr>
      <w:r>
        <w:rPr>
          <w:rFonts w:ascii="Arial" w:cs="Arial" w:eastAsia="Arial" w:hAnsi="Arial"/>
          <w:b/>
          <w:bCs/>
          <w:color w:val="2E75B6"/>
          <w:sz w:val="28"/>
          <w:szCs w:val="28"/>
        </w:rPr>
        <w:t xml:space="preserve">5.1 The Pipeline</w:t>
      </w:r>
    </w:p>
    <w:p>
      <w:pPr>
        <w:spacing w:after="160"/>
      </w:pPr>
      <w:r>
        <w:rPr>
          <w:rFonts w:ascii="Arial" w:cs="Arial" w:eastAsia="Arial" w:hAnsi="Arial"/>
          <w:b/>
          <w:bCs/>
          <w:color w:val="333333"/>
          <w:sz w:val="22"/>
          <w:szCs w:val="22"/>
        </w:rPr>
        <w:t xml:space="preserve">Stage 1 (Debate): </w:t>
      </w:r>
      <w:r>
        <w:rPr>
          <w:rFonts w:ascii="Arial" w:cs="Arial" w:eastAsia="Arial" w:hAnsi="Arial"/>
          <w:color w:val="333333"/>
          <w:sz w:val="22"/>
          <w:szCs w:val="22"/>
        </w:rPr>
        <w:t xml:space="preserve">Run the question through a 2-round debate. Extract the dissent log, the tensions surfaced, and the strongest counterarguments from each agent.</w:t>
      </w:r>
    </w:p>
    <w:p>
      <w:pPr>
        <w:spacing w:after="160"/>
      </w:pPr>
      <w:r>
        <w:rPr>
          <w:rFonts w:ascii="Arial" w:cs="Arial" w:eastAsia="Arial" w:hAnsi="Arial"/>
          <w:b/>
          <w:bCs/>
          <w:color w:val="333333"/>
          <w:sz w:val="22"/>
          <w:szCs w:val="22"/>
        </w:rPr>
        <w:t xml:space="preserve">Stage 2 (Synthesis): </w:t>
      </w:r>
      <w:r>
        <w:rPr>
          <w:rFonts w:ascii="Arial" w:cs="Arial" w:eastAsia="Arial" w:hAnsi="Arial"/>
          <w:color w:val="333333"/>
          <w:sz w:val="22"/>
          <w:szCs w:val="22"/>
        </w:rPr>
        <w:t xml:space="preserve">Feed the original question plus the debate's dissent log as a constraint set into the synthesis protocol. The synthesis agents must explicitly address each surfaced tension in their individual analyses.</w:t>
      </w:r>
    </w:p>
    <w:p>
      <w:pPr>
        <w:spacing w:after="160"/>
      </w:pPr>
      <w:r>
        <w:rPr>
          <w:rFonts w:ascii="Arial" w:cs="Arial" w:eastAsia="Arial" w:hAnsi="Arial"/>
          <w:b/>
          <w:bCs/>
          <w:i/>
          <w:iCs/>
          <w:color w:val="333333"/>
          <w:sz w:val="22"/>
          <w:szCs w:val="22"/>
        </w:rPr>
        <w:t xml:space="preserve">Hypothesis: </w:t>
      </w:r>
      <w:r>
        <w:rPr>
          <w:rFonts w:ascii="Arial" w:cs="Arial" w:eastAsia="Arial" w:hAnsi="Arial"/>
          <w:color w:val="333333"/>
          <w:sz w:val="22"/>
          <w:szCs w:val="22"/>
        </w:rPr>
        <w:t xml:space="preserve">The composite output achieves debate-level tension surfacing (4.7) AND synthesis-level actionability (5.0). If validated, this becomes your premium protocol tier for high-stakes decisions.</w:t>
      </w:r>
    </w:p>
    <w:p>
      <w:pPr>
        <w:pStyle w:val="Heading2"/>
        <w:spacing w:after="160" w:before="280"/>
      </w:pPr>
      <w:r>
        <w:rPr>
          <w:rFonts w:ascii="Arial" w:cs="Arial" w:eastAsia="Arial" w:hAnsi="Arial"/>
          <w:b/>
          <w:bCs/>
          <w:color w:val="2E75B6"/>
          <w:sz w:val="28"/>
          <w:szCs w:val="28"/>
        </w:rPr>
        <w:t xml:space="preserve">5.2 Why This Matters Commercially</w:t>
      </w:r>
    </w:p>
    <w:p>
      <w:pPr>
        <w:spacing w:after="160"/>
      </w:pPr>
      <w:r>
        <w:rPr>
          <w:rFonts w:ascii="Arial" w:cs="Arial" w:eastAsia="Arial" w:hAnsi="Arial"/>
          <w:color w:val="333333"/>
          <w:sz w:val="22"/>
          <w:szCs w:val="22"/>
        </w:rPr>
        <w:t xml:space="preserve">This is how you justify a premium pricing tier. A single debate run costs X. A single synthesis run costs Y. The composite costs X+Y but delivers something neither can alone: a recommendation that has been adversarially stress-tested AND turned into a concrete implementation plan with named owners and timelines. The DFW Airport report is exactly this kind of deliverable.</w:t>
      </w:r>
    </w:p>
    <w:p>
      <w:pPr>
        <w:pBdr>
          <w:bottom w:val="single" w:color="2E75B6" w:sz="6" w:space="1"/>
        </w:pBdr>
        <w:spacing w:after="200" w:before="200"/>
      </w:pPr>
    </w:p>
    <w:p>
      <w:pPr>
        <w:pStyle w:val="Heading1"/>
        <w:spacing w:after="200" w:before="360"/>
      </w:pPr>
      <w:r>
        <w:rPr>
          <w:rFonts w:ascii="Arial" w:cs="Arial" w:eastAsia="Arial" w:hAnsi="Arial"/>
          <w:b/>
          <w:bCs/>
          <w:color w:val="1B3A5C"/>
          <w:sz w:val="36"/>
          <w:szCs w:val="36"/>
        </w:rPr>
        <w:t xml:space="preserve">6. Domain-Calibrated Skill Packs (SkillsBench)</w:t>
      </w:r>
    </w:p>
    <w:p>
      <w:pPr>
        <w:spacing w:after="160"/>
      </w:pPr>
      <w:r>
        <w:rPr>
          <w:rFonts w:ascii="Arial" w:cs="Arial" w:eastAsia="Arial" w:hAnsi="Arial"/>
          <w:color w:val="333333"/>
          <w:sz w:val="22"/>
          <w:szCs w:val="22"/>
        </w:rPr>
        <w:t xml:space="preserve">Unfair Advantage #6. The SkillsBench paper's finding is striking: curated skills improve performance by +16.2 percentage points on average, but the variance across domains is enormous (Software Engineering +4.5pp vs Healthcare +51.9pp). Self-generated skills show no average benefit.</w:t>
      </w:r>
    </w:p>
    <w:p>
      <w:pPr>
        <w:pStyle w:val="Heading2"/>
        <w:spacing w:after="160" w:before="280"/>
      </w:pPr>
      <w:r>
        <w:rPr>
          <w:rFonts w:ascii="Arial" w:cs="Arial" w:eastAsia="Arial" w:hAnsi="Arial"/>
          <w:b/>
          <w:bCs/>
          <w:color w:val="2E75B6"/>
          <w:sz w:val="28"/>
          <w:szCs w:val="28"/>
        </w:rPr>
        <w:t xml:space="preserve">6.1 What This Means For You</w:t>
      </w:r>
    </w:p>
    <w:p>
      <w:pPr>
        <w:spacing w:after="160"/>
      </w:pPr>
      <w:r>
        <w:rPr>
          <w:rFonts w:ascii="Arial" w:cs="Arial" w:eastAsia="Arial" w:hAnsi="Arial"/>
          <w:color w:val="333333"/>
          <w:sz w:val="22"/>
          <w:szCs w:val="22"/>
        </w:rPr>
        <w:t xml:space="preserve">Your 24 agents have fixed system prompts. The SkillsBench data says you should have domain-specific prompt overlays that swap based on client vertical. The payoff is largest in domains where general LLM knowledge is weakest. For your current client base, that likely means professional services, telecom/infrastructure (DFW, Imagine Wireless), and SaaS growth.</w:t>
      </w:r>
    </w:p>
    <w:p>
      <w:pPr>
        <w:pStyle w:val="Heading2"/>
        <w:spacing w:after="160" w:before="280"/>
      </w:pPr>
      <w:r>
        <w:rPr>
          <w:rFonts w:ascii="Arial" w:cs="Arial" w:eastAsia="Arial" w:hAnsi="Arial"/>
          <w:b/>
          <w:bCs/>
          <w:color w:val="2E75B6"/>
          <w:sz w:val="28"/>
          <w:szCs w:val="28"/>
        </w:rPr>
        <w:t xml:space="preserve">6.2 Implementation</w:t>
      </w:r>
    </w:p>
    <w:p>
      <w:pPr>
        <w:spacing w:after="160"/>
      </w:pPr>
      <w:r>
        <w:rPr>
          <w:rFonts w:ascii="Arial" w:cs="Arial" w:eastAsia="Arial" w:hAnsi="Arial"/>
          <w:color w:val="333333"/>
          <w:sz w:val="22"/>
          <w:szCs w:val="22"/>
        </w:rPr>
        <w:t xml:space="preserve">Create 3 vertical skill packs as JSON overlays in the agent registry. Each pack is 2-3 focused documents (not comprehensive manuals, per SkillsBench findings). The orchestrator loads the relevant skill pack based on client metadata or manual selection. Start with one pack for your most active vertical and measure judge score deltas.</w:t>
      </w:r>
    </w:p>
    <w:p>
      <w:r>
        <w:br w:type="page"/>
      </w:r>
    </w:p>
    <w:p>
      <w:pPr>
        <w:pStyle w:val="Heading1"/>
        <w:spacing w:after="200" w:before="360"/>
      </w:pPr>
      <w:r>
        <w:rPr>
          <w:rFonts w:ascii="Arial" w:cs="Arial" w:eastAsia="Arial" w:hAnsi="Arial"/>
          <w:b/>
          <w:bCs/>
          <w:color w:val="1B3A5C"/>
          <w:sz w:val="36"/>
          <w:szCs w:val="36"/>
        </w:rPr>
        <w:t xml:space="preserve">7. Package Emergence Scoring as a Deliverable Feature</w:t>
      </w:r>
    </w:p>
    <w:p>
      <w:pPr>
        <w:spacing w:after="160"/>
      </w:pPr>
      <w:r>
        <w:rPr>
          <w:rFonts w:ascii="Arial" w:cs="Arial" w:eastAsia="Arial" w:hAnsi="Arial"/>
          <w:color w:val="333333"/>
          <w:sz w:val="22"/>
          <w:szCs w:val="22"/>
        </w:rPr>
        <w:t xml:space="preserve">Unfair Advantage #2, and arguably your most defensible moat. No competitor can prove their multi-agent output is better than a single good prompt. Your emergence rubric with zone classification (A-D) is a quality certification system.</w:t>
      </w:r>
    </w:p>
    <w:p>
      <w:pPr>
        <w:pStyle w:val="Heading2"/>
        <w:spacing w:after="160" w:before="280"/>
      </w:pPr>
      <w:r>
        <w:rPr>
          <w:rFonts w:ascii="Arial" w:cs="Arial" w:eastAsia="Arial" w:hAnsi="Arial"/>
          <w:b/>
          <w:bCs/>
          <w:color w:val="2E75B6"/>
          <w:sz w:val="28"/>
          <w:szCs w:val="28"/>
        </w:rPr>
        <w:t xml:space="preserve">7.1 The Client-Facing Integration</w:t>
      </w:r>
    </w:p>
    <w:p>
      <w:pPr>
        <w:spacing w:after="160"/>
      </w:pPr>
      <w:r>
        <w:rPr>
          <w:rFonts w:ascii="Arial" w:cs="Arial" w:eastAsia="Arial" w:hAnsi="Arial"/>
          <w:color w:val="333333"/>
          <w:sz w:val="22"/>
          <w:szCs w:val="22"/>
        </w:rPr>
        <w:t xml:space="preserve">Every deliverable report should include an emergence score card. Not buried in an appendix, but on page 2, right after the executive summary. The score card shows: which protocol was selected and why (router rationale), the emergence zone classification (A-D), the 12-criterion emergence scores, and how the multi-agent output compares to the single-agent control (Mode B baseline from your v2 study).</w:t>
      </w:r>
    </w:p>
    <w:p>
      <w:pPr>
        <w:spacing w:after="160"/>
      </w:pPr>
      <w:r>
        <w:rPr>
          <w:rFonts w:ascii="Arial" w:cs="Arial" w:eastAsia="Arial" w:hAnsi="Arial"/>
          <w:b/>
          <w:bCs/>
          <w:color w:val="333333"/>
          <w:sz w:val="22"/>
          <w:szCs w:val="22"/>
        </w:rPr>
        <w:t xml:space="preserve">The framing: </w:t>
      </w:r>
      <w:r>
        <w:rPr>
          <w:rFonts w:ascii="Arial" w:cs="Arial" w:eastAsia="Arial" w:hAnsi="Arial"/>
          <w:color w:val="333333"/>
          <w:sz w:val="22"/>
          <w:szCs w:val="22"/>
        </w:rPr>
        <w:t xml:space="preserve">"This recommendation achieved Zone D emergence, meaning the multi-agent synthesis produced insights no single perspective could generate. The analysis surfaced 4 tensions between stakeholder positions and resolved each with specific, named trade-offs."</w:t>
      </w:r>
    </w:p>
    <w:p>
      <w:pPr>
        <w:pStyle w:val="Heading2"/>
        <w:spacing w:after="160" w:before="280"/>
      </w:pPr>
      <w:r>
        <w:rPr>
          <w:rFonts w:ascii="Arial" w:cs="Arial" w:eastAsia="Arial" w:hAnsi="Arial"/>
          <w:b/>
          <w:bCs/>
          <w:color w:val="2E75B6"/>
          <w:sz w:val="28"/>
          <w:szCs w:val="28"/>
        </w:rPr>
        <w:t xml:space="preserve">7.2 Why This Is Defensible</w:t>
      </w:r>
    </w:p>
    <w:p>
      <w:pPr>
        <w:spacing w:after="160"/>
      </w:pPr>
      <w:r>
        <w:rPr>
          <w:rFonts w:ascii="Arial" w:cs="Arial" w:eastAsia="Arial" w:hAnsi="Arial"/>
          <w:color w:val="333333"/>
          <w:sz w:val="22"/>
          <w:szCs w:val="22"/>
        </w:rPr>
        <w:t xml:space="preserve">The market context supports this timing. The Snowflake AI Predictions report notes that enterprises are demanding that reliability be quantified. Your emergence scoring is exactly that: a quantified measure of multi-agent coordination quality. When competitors claim their multi-agent systems are better, you can ask one question they cannot answer: what is the emergence score?</w:t>
      </w:r>
    </w:p>
    <w:p>
      <w:pPr>
        <w:pBdr>
          <w:bottom w:val="single" w:color="2E75B6" w:sz="6" w:space="1"/>
        </w:pBdr>
        <w:spacing w:after="200" w:before="200"/>
      </w:pPr>
    </w:p>
    <w:p>
      <w:pPr>
        <w:pStyle w:val="Heading1"/>
        <w:spacing w:after="200" w:before="360"/>
      </w:pPr>
      <w:r>
        <w:rPr>
          <w:rFonts w:ascii="Arial" w:cs="Arial" w:eastAsia="Arial" w:hAnsi="Arial"/>
          <w:b/>
          <w:bCs/>
          <w:color w:val="1B3A5C"/>
          <w:sz w:val="36"/>
          <w:szCs w:val="36"/>
        </w:rPr>
        <w:t xml:space="preserve">8. Prioritized Action Plan</w:t>
      </w:r>
    </w:p>
    <w:p>
      <w:pPr>
        <w:spacing w:after="160"/>
      </w:pPr>
      <w:r>
        <w:rPr>
          <w:rFonts w:ascii="Arial" w:cs="Arial" w:eastAsia="Arial" w:hAnsi="Arial"/>
          <w:color w:val="333333"/>
          <w:sz w:val="22"/>
          <w:szCs w:val="22"/>
        </w:rPr>
        <w:t xml:space="preserve">Everything above, sequenced against your existing roadmap:</w:t>
      </w:r>
    </w:p>
    <w:p>
      <w:pPr>
        <w:pStyle w:val="Heading2"/>
        <w:spacing w:after="160" w:before="280"/>
      </w:pPr>
      <w:r>
        <w:rPr>
          <w:rFonts w:ascii="Arial" w:cs="Arial" w:eastAsia="Arial" w:hAnsi="Arial"/>
          <w:b/>
          <w:bCs/>
          <w:color w:val="2E75B6"/>
          <w:sz w:val="28"/>
          <w:szCs w:val="28"/>
        </w:rPr>
        <w:t xml:space="preserve">This Week (aligns with your roadmap's 'What to Do This Week')</w:t>
      </w:r>
    </w:p>
    <w:p>
      <w:pPr>
        <w:pStyle w:val="ListParagraph"/>
        <w:numPr>
          <w:ilvl w:val="0"/>
          <w:numId w:val="3"/>
        </w:numPr>
        <w:spacing w:after="80"/>
      </w:pPr>
      <w:r>
        <w:rPr>
          <w:rFonts w:ascii="Arial" w:cs="Arial" w:eastAsia="Arial" w:hAnsi="Arial"/>
          <w:b/>
          <w:bCs/>
          <w:color w:val="333333"/>
          <w:sz w:val="22"/>
          <w:szCs w:val="22"/>
        </w:rPr>
        <w:t xml:space="preserve">Update the adaptive router's default from debate to synthesis. </w:t>
      </w:r>
      <w:r>
        <w:rPr>
          <w:rFonts w:ascii="Arial" w:cs="Arial" w:eastAsia="Arial" w:hAnsi="Arial"/>
          <w:color w:val="333333"/>
          <w:sz w:val="22"/>
          <w:szCs w:val="22"/>
        </w:rPr>
        <w:t xml:space="preserve">This is a configuration change, not a rebuild. It reflects your own empirical findings.</w:t>
      </w:r>
    </w:p>
    <w:p>
      <w:pPr>
        <w:pStyle w:val="ListParagraph"/>
        <w:numPr>
          <w:ilvl w:val="0"/>
          <w:numId w:val="3"/>
        </w:numPr>
        <w:spacing w:after="80"/>
      </w:pPr>
      <w:r>
        <w:rPr>
          <w:rFonts w:ascii="Arial" w:cs="Arial" w:eastAsia="Arial" w:hAnsi="Arial"/>
          <w:b/>
          <w:bCs/>
          <w:color w:val="333333"/>
          <w:sz w:val="22"/>
          <w:szCs w:val="22"/>
        </w:rPr>
        <w:t xml:space="preserve">Add the complementarity framing to client deliverables. </w:t>
      </w:r>
      <w:r>
        <w:rPr>
          <w:rFonts w:ascii="Arial" w:cs="Arial" w:eastAsia="Arial" w:hAnsi="Arial"/>
          <w:color w:val="333333"/>
          <w:sz w:val="22"/>
          <w:szCs w:val="22"/>
        </w:rPr>
        <w:t xml:space="preserve">When presenting results, note that debate was used for tension surfacing and synthesis for action planning, even if only one was run.</w:t>
      </w:r>
    </w:p>
    <w:p>
      <w:pPr>
        <w:pStyle w:val="ListParagraph"/>
        <w:numPr>
          <w:ilvl w:val="0"/>
          <w:numId w:val="3"/>
        </w:numPr>
        <w:spacing w:after="80"/>
      </w:pPr>
      <w:r>
        <w:rPr>
          <w:rFonts w:ascii="Arial" w:cs="Arial" w:eastAsia="Arial" w:hAnsi="Arial"/>
          <w:b/>
          <w:bCs/>
          <w:color w:val="333333"/>
          <w:sz w:val="22"/>
          <w:szCs w:val="22"/>
        </w:rPr>
        <w:t xml:space="preserve">Start the A/B test harness with the new hierarchy. </w:t>
      </w:r>
      <w:r>
        <w:rPr>
          <w:rFonts w:ascii="Arial" w:cs="Arial" w:eastAsia="Arial" w:hAnsi="Arial"/>
          <w:color w:val="333333"/>
          <w:sz w:val="22"/>
          <w:szCs w:val="22"/>
        </w:rPr>
        <w:t xml:space="preserve">Run synthesis vs debate vs composite on one question. This is your demo-ready proof point.</w:t>
      </w:r>
    </w:p>
    <w:p>
      <w:pPr>
        <w:pStyle w:val="Heading2"/>
        <w:spacing w:after="160" w:before="280"/>
      </w:pPr>
      <w:r>
        <w:rPr>
          <w:rFonts w:ascii="Arial" w:cs="Arial" w:eastAsia="Arial" w:hAnsi="Arial"/>
          <w:b/>
          <w:bCs/>
          <w:color w:val="2E75B6"/>
          <w:sz w:val="28"/>
          <w:szCs w:val="28"/>
        </w:rPr>
        <w:t xml:space="preserve">Weeks 2-4</w:t>
      </w:r>
    </w:p>
    <w:p>
      <w:pPr>
        <w:pStyle w:val="ListParagraph"/>
        <w:numPr>
          <w:ilvl w:val="0"/>
          <w:numId w:val="3"/>
        </w:numPr>
        <w:spacing w:after="80"/>
      </w:pPr>
      <w:r>
        <w:rPr>
          <w:rFonts w:ascii="Arial" w:cs="Arial" w:eastAsia="Arial" w:hAnsi="Arial"/>
          <w:b/>
          <w:bCs/>
          <w:color w:val="333333"/>
          <w:sz w:val="22"/>
          <w:szCs w:val="22"/>
        </w:rPr>
        <w:t xml:space="preserve">Implement 4-tier cognitive depth on your top 3 protocols. </w:t>
      </w:r>
      <w:r>
        <w:rPr>
          <w:rFonts w:ascii="Arial" w:cs="Arial" w:eastAsia="Arial" w:hAnsi="Arial"/>
          <w:color w:val="333333"/>
          <w:sz w:val="22"/>
          <w:szCs w:val="22"/>
        </w:rPr>
        <w:t xml:space="preserve">Expect 40-60% cost reduction. Validate with emergence score comparison.</w:t>
      </w:r>
    </w:p>
    <w:p>
      <w:pPr>
        <w:pStyle w:val="ListParagraph"/>
        <w:numPr>
          <w:ilvl w:val="0"/>
          <w:numId w:val="3"/>
        </w:numPr>
        <w:spacing w:after="80"/>
      </w:pPr>
      <w:r>
        <w:rPr>
          <w:rFonts w:ascii="Arial" w:cs="Arial" w:eastAsia="Arial" w:hAnsi="Arial"/>
          <w:b/>
          <w:bCs/>
          <w:color w:val="333333"/>
          <w:sz w:val="22"/>
          <w:szCs w:val="22"/>
        </w:rPr>
        <w:t xml:space="preserve">Build the Composite Orchestrator (debate-to-synthesis pipeline). </w:t>
      </w:r>
      <w:r>
        <w:rPr>
          <w:rFonts w:ascii="Arial" w:cs="Arial" w:eastAsia="Arial" w:hAnsi="Arial"/>
          <w:color w:val="333333"/>
          <w:sz w:val="22"/>
          <w:szCs w:val="22"/>
        </w:rPr>
        <w:t xml:space="preserve">Test the hypothesis that it achieves both tension surfacing and actionability.</w:t>
      </w:r>
    </w:p>
    <w:p>
      <w:pPr>
        <w:pStyle w:val="ListParagraph"/>
        <w:numPr>
          <w:ilvl w:val="0"/>
          <w:numId w:val="3"/>
        </w:numPr>
        <w:spacing w:after="80"/>
      </w:pPr>
      <w:r>
        <w:rPr>
          <w:rFonts w:ascii="Arial" w:cs="Arial" w:eastAsia="Arial" w:hAnsi="Arial"/>
          <w:b/>
          <w:bCs/>
          <w:color w:val="333333"/>
          <w:sz w:val="22"/>
          <w:szCs w:val="22"/>
        </w:rPr>
        <w:t xml:space="preserve">Wire task decomposability metrics into P0a router. </w:t>
      </w:r>
      <w:r>
        <w:rPr>
          <w:rFonts w:ascii="Arial" w:cs="Arial" w:eastAsia="Arial" w:hAnsi="Arial"/>
          <w:color w:val="333333"/>
          <w:sz w:val="22"/>
          <w:szCs w:val="22"/>
        </w:rPr>
        <w:t xml:space="preserve">Use the replication study's predictive features (87% accuracy) for empirically-validated routing.</w:t>
      </w:r>
    </w:p>
    <w:p>
      <w:pPr>
        <w:pStyle w:val="Heading2"/>
        <w:spacing w:after="160" w:before="280"/>
      </w:pPr>
      <w:r>
        <w:rPr>
          <w:rFonts w:ascii="Arial" w:cs="Arial" w:eastAsia="Arial" w:hAnsi="Arial"/>
          <w:b/>
          <w:bCs/>
          <w:color w:val="2E75B6"/>
          <w:sz w:val="28"/>
          <w:szCs w:val="28"/>
        </w:rPr>
        <w:t xml:space="preserve">Weeks 5-8</w:t>
      </w:r>
    </w:p>
    <w:p>
      <w:pPr>
        <w:pStyle w:val="ListParagraph"/>
        <w:numPr>
          <w:ilvl w:val="0"/>
          <w:numId w:val="3"/>
        </w:numPr>
        <w:spacing w:after="80"/>
      </w:pPr>
      <w:r>
        <w:rPr>
          <w:rFonts w:ascii="Arial" w:cs="Arial" w:eastAsia="Arial" w:hAnsi="Arial"/>
          <w:b/>
          <w:bCs/>
          <w:color w:val="333333"/>
          <w:sz w:val="22"/>
          <w:szCs w:val="22"/>
        </w:rPr>
        <w:t xml:space="preserve">Launch DGM prompt evolution on the synthesis protocol. </w:t>
      </w:r>
      <w:r>
        <w:rPr>
          <w:rFonts w:ascii="Arial" w:cs="Arial" w:eastAsia="Arial" w:hAnsi="Arial"/>
          <w:color w:val="333333"/>
          <w:sz w:val="22"/>
          <w:szCs w:val="22"/>
        </w:rPr>
        <w:t xml:space="preserve">Include dysfunction metrics as negative fitness signals. Budget: $200-500.</w:t>
      </w:r>
    </w:p>
    <w:p>
      <w:pPr>
        <w:pStyle w:val="ListParagraph"/>
        <w:numPr>
          <w:ilvl w:val="0"/>
          <w:numId w:val="3"/>
        </w:numPr>
        <w:spacing w:after="80"/>
      </w:pPr>
      <w:r>
        <w:rPr>
          <w:rFonts w:ascii="Arial" w:cs="Arial" w:eastAsia="Arial" w:hAnsi="Arial"/>
          <w:b/>
          <w:bCs/>
          <w:color w:val="333333"/>
          <w:sz w:val="22"/>
          <w:szCs w:val="22"/>
        </w:rPr>
        <w:t xml:space="preserve">Create first domain skill pack for your most active vertical. </w:t>
      </w:r>
      <w:r>
        <w:rPr>
          <w:rFonts w:ascii="Arial" w:cs="Arial" w:eastAsia="Arial" w:hAnsi="Arial"/>
          <w:color w:val="333333"/>
          <w:sz w:val="22"/>
          <w:szCs w:val="22"/>
        </w:rPr>
        <w:t xml:space="preserve">2-3 focused documents, not comprehensive manuals.</w:t>
      </w:r>
    </w:p>
    <w:p>
      <w:pPr>
        <w:pStyle w:val="ListParagraph"/>
        <w:numPr>
          <w:ilvl w:val="0"/>
          <w:numId w:val="3"/>
        </w:numPr>
        <w:spacing w:after="80"/>
      </w:pPr>
      <w:r>
        <w:rPr>
          <w:rFonts w:ascii="Arial" w:cs="Arial" w:eastAsia="Arial" w:hAnsi="Arial"/>
          <w:b/>
          <w:bCs/>
          <w:color w:val="333333"/>
          <w:sz w:val="22"/>
          <w:szCs w:val="22"/>
        </w:rPr>
        <w:t xml:space="preserve">Design emergence score card for client-facing reports. </w:t>
      </w:r>
      <w:r>
        <w:rPr>
          <w:rFonts w:ascii="Arial" w:cs="Arial" w:eastAsia="Arial" w:hAnsi="Arial"/>
          <w:color w:val="333333"/>
          <w:sz w:val="22"/>
          <w:szCs w:val="22"/>
        </w:rPr>
        <w:t xml:space="preserve">Include zone classification, dimension scores, and single-agent baseline comparison.</w:t>
      </w:r>
    </w:p>
    <w:p>
      <w:pPr>
        <w:pStyle w:val="Heading2"/>
        <w:spacing w:after="160" w:before="280"/>
      </w:pPr>
      <w:r>
        <w:rPr>
          <w:rFonts w:ascii="Arial" w:cs="Arial" w:eastAsia="Arial" w:hAnsi="Arial"/>
          <w:b/>
          <w:bCs/>
          <w:color w:val="2E75B6"/>
          <w:sz w:val="28"/>
          <w:szCs w:val="28"/>
        </w:rPr>
        <w:t xml:space="preserve">Months 3-6 (Strategic Moat)</w:t>
      </w:r>
    </w:p>
    <w:p>
      <w:pPr>
        <w:pStyle w:val="ListParagraph"/>
        <w:numPr>
          <w:ilvl w:val="0"/>
          <w:numId w:val="3"/>
        </w:numPr>
        <w:spacing w:after="80"/>
      </w:pPr>
      <w:r>
        <w:rPr>
          <w:rFonts w:ascii="Arial" w:cs="Arial" w:eastAsia="Arial" w:hAnsi="Arial"/>
          <w:b/>
          <w:bCs/>
          <w:color w:val="333333"/>
          <w:sz w:val="22"/>
          <w:szCs w:val="22"/>
        </w:rPr>
        <w:t xml:space="preserve">Socialization memory architecture. </w:t>
      </w:r>
      <w:r>
        <w:rPr>
          <w:rFonts w:ascii="Arial" w:cs="Arial" w:eastAsia="Arial" w:hAnsi="Arial"/>
          <w:color w:val="333333"/>
          <w:sz w:val="22"/>
          <w:szCs w:val="22"/>
        </w:rPr>
        <w:t xml:space="preserve">Per-agent memory that persists across protocol runs within a client engagement. This is the moat that accumulates over time.</w:t>
      </w:r>
    </w:p>
    <w:p>
      <w:pPr>
        <w:pStyle w:val="ListParagraph"/>
        <w:numPr>
          <w:ilvl w:val="0"/>
          <w:numId w:val="3"/>
        </w:numPr>
        <w:spacing w:after="80"/>
      </w:pPr>
      <w:r>
        <w:rPr>
          <w:rFonts w:ascii="Arial" w:cs="Arial" w:eastAsia="Arial" w:hAnsi="Arial"/>
          <w:b/>
          <w:bCs/>
          <w:color w:val="333333"/>
          <w:sz w:val="22"/>
          <w:szCs w:val="22"/>
        </w:rPr>
        <w:t xml:space="preserve">Cross-protocol evolution in DGM. </w:t>
      </w:r>
      <w:r>
        <w:rPr>
          <w:rFonts w:ascii="Arial" w:cs="Arial" w:eastAsia="Arial" w:hAnsi="Arial"/>
          <w:color w:val="333333"/>
          <w:sz w:val="22"/>
          <w:szCs w:val="22"/>
        </w:rPr>
        <w:t xml:space="preserve">Breed structural patterns across protocol families. This is where the platform becomes genuinely self-improving, not just self-optimizing.</w:t>
      </w:r>
    </w:p>
    <w:p>
      <w:pPr>
        <w:pStyle w:val="ListParagraph"/>
        <w:numPr>
          <w:ilvl w:val="0"/>
          <w:numId w:val="3"/>
        </w:numPr>
        <w:spacing w:after="80"/>
      </w:pPr>
      <w:r>
        <w:rPr>
          <w:rFonts w:ascii="Arial" w:cs="Arial" w:eastAsia="Arial" w:hAnsi="Arial"/>
          <w:b/>
          <w:bCs/>
          <w:color w:val="333333"/>
          <w:sz w:val="22"/>
          <w:szCs w:val="22"/>
        </w:rPr>
        <w:t xml:space="preserve">Organizational metaphor layer for the protocol selector. </w:t>
      </w:r>
      <w:r>
        <w:rPr>
          <w:rFonts w:ascii="Arial" w:cs="Arial" w:eastAsia="Arial" w:hAnsi="Arial"/>
          <w:color w:val="333333"/>
          <w:sz w:val="22"/>
          <w:szCs w:val="22"/>
        </w:rPr>
        <w:t xml:space="preserve">Map protocols to organizational archetypes clients already understand. P04 Debate becomes 'Executive Review Board.' P06 TRIZ becomes 'Innovation Lab.'</w:t>
      </w:r>
    </w:p>
    <w:p>
      <w:pPr>
        <w:pBdr>
          <w:bottom w:val="single" w:color="2E75B6" w:sz="6" w:space="1"/>
        </w:pBdr>
        <w:spacing w:after="200" w:before="200"/>
      </w:pPr>
    </w:p>
    <w:p>
      <w:pPr>
        <w:pStyle w:val="Heading1"/>
        <w:spacing w:after="200" w:before="360"/>
      </w:pPr>
      <w:r>
        <w:rPr>
          <w:rFonts w:ascii="Arial" w:cs="Arial" w:eastAsia="Arial" w:hAnsi="Arial"/>
          <w:b/>
          <w:bCs/>
          <w:color w:val="1B3A5C"/>
          <w:sz w:val="36"/>
          <w:szCs w:val="36"/>
        </w:rPr>
        <w:t xml:space="preserve">The Bottom Line</w:t>
      </w:r>
    </w:p>
    <w:p>
      <w:pPr>
        <w:spacing w:after="160"/>
      </w:pPr>
      <w:r>
        <w:rPr>
          <w:rFonts w:ascii="Arial" w:cs="Arial" w:eastAsia="Arial" w:hAnsi="Arial"/>
          <w:b w:val="false"/>
          <w:bCs w:val="false"/>
          <w:color w:val="333333"/>
          <w:sz w:val="22"/>
          <w:szCs w:val="22"/>
        </w:rPr>
        <w:t xml:space="preserve">Your v2 study proved that architecture selection matters more than agent count. The research corpus gives you the theoretical frameworks (McEntire), the self-improvement mechanisms (DGM), the cost optimization strategies (CogRouter), and the quality certification system (emergence scoring) to turn that proof into a defensible product.</w:t>
      </w:r>
    </w:p>
    <w:p>
      <w:pPr>
        <w:spacing w:after="160"/>
      </w:pPr>
      <w:r>
        <w:rPr>
          <w:rFonts w:ascii="Arial" w:cs="Arial" w:eastAsia="Arial" w:hAnsi="Arial"/>
          <w:b w:val="false"/>
          <w:bCs w:val="false"/>
          <w:color w:val="333333"/>
          <w:sz w:val="22"/>
          <w:szCs w:val="22"/>
        </w:rPr>
        <w:t xml:space="preserve">The single sentence you should be able to say to every client: </w:t>
      </w:r>
      <w:r>
        <w:rPr>
          <w:rFonts w:ascii="Arial" w:cs="Arial" w:eastAsia="Arial" w:hAnsi="Arial"/>
          <w:b/>
          <w:bCs/>
          <w:i/>
          <w:iCs/>
          <w:color w:val="333333"/>
          <w:sz w:val="22"/>
          <w:szCs w:val="22"/>
        </w:rPr>
        <w:t xml:space="preserve">"We select the optimal coordination architecture for your question type with 87% accuracy, certify the output quality with emergence scoring, and our protocols improve themselves against empirical benchmarks after every run."</w:t>
      </w:r>
    </w:p>
    <w:p>
      <w:pPr>
        <w:spacing w:after="160"/>
      </w:pPr>
      <w:r>
        <w:rPr>
          <w:rFonts w:ascii="Arial" w:cs="Arial" w:eastAsia="Arial" w:hAnsi="Arial"/>
          <w:color w:val="333333"/>
          <w:sz w:val="22"/>
          <w:szCs w:val="22"/>
        </w:rPr>
        <w:t xml:space="preserve">No competitor can say any of those three things. Together they form a moat that deepens with every engagement.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Cardinal Element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b/>
        <w:bCs/>
        <w:color w:val="1B3A5C"/>
        <w:sz w:val="18"/>
        <w:szCs w:val="18"/>
      </w:rPr>
      <w:t xml:space="preserve">CE AGENTS</w:t>
    </w:r>
    <w:r>
      <w:rPr>
        <w:rFonts w:ascii="Arial" w:cs="Arial" w:eastAsia="Arial" w:hAnsi="Arial"/>
        <w:color w:val="666666"/>
        <w:sz w:val="18"/>
        <w:szCs w:val="18"/>
      </w:rPr>
      <w:t xml:space="preserve">	Research-to-Product Integration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2026-03-10T00:49:59.214Z</dcterms:created>
  <dcterms:modified xsi:type="dcterms:W3CDTF">2026-03-10T00:49:59.215Z</dcterms:modified>
</cp:coreProperties>
</file>

<file path=docProps/custom.xml><?xml version="1.0" encoding="utf-8"?>
<Properties xmlns="http://schemas.openxmlformats.org/officeDocument/2006/custom-properties" xmlns:vt="http://schemas.openxmlformats.org/officeDocument/2006/docPropsVTypes"/>
</file>