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a3"/>
        <w:jc w:val="center"/>
      </w:pPr>
      <w:r>
        <w:t>АКТУАЛИЗИРОВАННОЕ ТЕХНИЧЕСКОЕ ЗАДАНИЕ</w:t>
      </w:r>
    </w:p>
    <w:p>
      <w:pPr>
        <w:jc w:val="center"/>
      </w:pPr>
      <w:r>
        <w:rPr>
          <w:b/>
          <w:color w:val="555555"/>
        </w:rPr>
        <w:t>Updated technical requirements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17365D"/>
                <w:sz w:val="18"/>
              </w:rPr>
              <w:t>Конфигурация / Configuration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EVT-PRE-20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17365D"/>
                <w:sz w:val="18"/>
              </w:rPr>
              <w:t>Ревизия / Revision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REV_D7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17365D"/>
                <w:sz w:val="18"/>
              </w:rPr>
              <w:t>Дата / Date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16.10.2026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17365D"/>
                <w:sz w:val="18"/>
              </w:rPr>
              <w:t>Статус / Status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ГОТОВ К ПЕРЕДАЧЕ / READY FOR HANDOFF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17365D"/>
                <w:sz w:val="18"/>
              </w:rPr>
              <w:t>Объём / Scope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 управляемый лот, 20 станций / one controlled lot, 20 stations</w:t>
            </w:r>
          </w:p>
        </w:tc>
      </w:tr>
    </w:tbl>
    <w:p/>
    <w:p>
      <w:pPr>
        <w:pStyle w:val="1"/>
      </w:pPr>
      <w:r>
        <w:t>1. Объект / Product</w:t>
      </w:r>
    </w:p>
    <w:p>
      <w:pPr>
        <w:jc w:val="both"/>
      </w:pPr>
      <w:r>
        <w:rPr>
          <w:b/>
        </w:rPr>
        <w:t xml:space="preserve">RU: </w:t>
      </w:r>
      <w:r>
        <w:t>Распределённая автономная станция акустического обнаружения БПЛА «Дионея», конфигурация EVT-PRE-20. Объём одного управляемого лота — 20 станций DIO-EVT-001…020.</w:t>
      </w:r>
      <w:r>
        <w:br/>
      </w:r>
      <w:r>
        <w:rPr>
          <w:b/>
        </w:rPr>
        <w:t xml:space="preserve">EN: </w:t>
      </w:r>
      <w:r>
        <w:t>Dioneya autonomous distributed acoustic UAV detection station, EVT-PRE-20 configuration. One controlled lot consists of 20 stations DIO-EVT-001…020.</w:t>
      </w:r>
    </w:p>
    <w:p>
      <w:pPr>
        <w:pStyle w:val="1"/>
      </w:pPr>
      <w:r>
        <w:t>2. Архитектура / Architecture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</w:tblPr>
      <w:tblGrid>
        <w:gridCol w:w="4680"/>
        <w:gridCol w:w="4680"/>
      </w:tblGrid>
      <w:tr>
        <w:tc>
          <w:tcPr>
            <w:tcW w:type="dxa" w:w="226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Подсистема</w:t>
            </w:r>
          </w:p>
        </w:tc>
        <w:tc>
          <w:tcPr>
            <w:tcW w:type="dxa" w:w="737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Требование / Requirement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Управление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STM32U585VIT6Q на PCB-MAIN Rev.B, LQFP100</w:t>
            </w:r>
          </w:p>
        </w:tc>
      </w:tr>
      <w:tr>
        <w:tc>
          <w:tcPr>
            <w:tcW w:type="dxa" w:w="2268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Акустика</w:t>
            </w:r>
          </w:p>
        </w:tc>
        <w:tc>
          <w:tcPr>
            <w:tcW w:type="dxa" w:w="7370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4 одинаковых PCB-MIC; 3+1, база 120 mm, верхний микрофон +150 mm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Питание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LiFePO4 12.8 V / 40 Ah; PV 80 W; MPPT 75/10; PCB-PWR</w:t>
            </w:r>
          </w:p>
        </w:tc>
      </w:tr>
      <w:tr>
        <w:tc>
          <w:tcPr>
            <w:tcW w:type="dxa" w:w="2268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Связь</w:t>
            </w:r>
          </w:p>
        </w:tc>
        <w:tc>
          <w:tcPr>
            <w:tcW w:type="dxa" w:w="7370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LTE MQTT/TLS, HTTPS/TLS fallback; RU868; BLE service; GNSS integrity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Корпус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вакуумное литьё для EVT-20; 3D-печать как резерв; IP65 min/IP67 target после теста</w:t>
            </w:r>
          </w:p>
        </w:tc>
      </w:tr>
    </w:tbl>
    <w:p>
      <w:pPr>
        <w:pStyle w:val="1"/>
      </w:pPr>
      <w:r>
        <w:t>3. Печатные платы / Printed circuit boards</w:t>
      </w:r>
    </w:p>
    <w:p>
      <w:pPr>
        <w:spacing w:after="40"/>
        <w:ind w:left="312" w:hanging="198"/>
      </w:pPr>
      <w:r>
        <w:t xml:space="preserve">• </w:t>
      </w:r>
      <w:r>
        <w:t>PCB-MAIN Rev.B: 110 × 75 × 1,6 мм, 8 медных слоёв, стек JLC08161H-3313, ENIG, внешняя медь 1 oz, внутренняя 0,5 oz, 76 POFV.</w:t>
      </w:r>
      <w:r>
        <w:t xml:space="preserve"> / PCB-MAIN Rev.B: 110 × 75 × 1.6 mm, 8 copper layers, JLC08161H-3313 stack, ENIG, 1 oz outer and 0.5 oz inner copper, 76 POFV.</w:t>
      </w:r>
    </w:p>
    <w:p>
      <w:pPr>
        <w:spacing w:after="40"/>
        <w:ind w:left="312" w:hanging="198"/>
      </w:pPr>
      <w:r>
        <w:t xml:space="preserve">• </w:t>
      </w:r>
      <w:r>
        <w:t>PCB-PWR: 90 × 60 × 1,6 мм, 4 слоя, 70/35 µm copper baseline, силовые и защитные цепи.</w:t>
      </w:r>
      <w:r>
        <w:t xml:space="preserve"> / PCB-PWR: 90 × 60 × 1.6 mm, 4 layers, 70/35 µm copper baseline, power and protection circuits.</w:t>
      </w:r>
    </w:p>
    <w:p>
      <w:pPr>
        <w:spacing w:after="40"/>
        <w:ind w:left="312" w:hanging="198"/>
      </w:pPr>
      <w:r>
        <w:t xml:space="preserve">• </w:t>
      </w:r>
      <w:r>
        <w:t>PCB-MIC: 24 × 22 мм, 2 слоя, четыре одинаковые платы на станцию.</w:t>
      </w:r>
      <w:r>
        <w:t xml:space="preserve"> / PCB-MIC: 24 × 22 mm, 2 layers, four identical boards per station.</w:t>
      </w:r>
    </w:p>
    <w:p>
      <w:pPr>
        <w:spacing w:after="40"/>
        <w:ind w:left="312" w:hanging="198"/>
      </w:pPr>
      <w:r>
        <w:t xml:space="preserve">• </w:t>
      </w:r>
      <w:r>
        <w:t>Производственный master: Altium PrjPcb/SchDoc/PcbDoc/OutJob. CAM: Gerber X2, Excellon, IPC-D-356, PnP, BOM, STEP и PDF.</w:t>
      </w:r>
      <w:r>
        <w:t xml:space="preserve"> / Manufacturing master: Altium PrjPcb/SchDoc/PcbDoc/OutJob. CAM: Gerber X2, Excellon, IPC-D-356, PnP, BOM, STEP and PDF.</w:t>
      </w:r>
    </w:p>
    <w:p>
      <w:pPr>
        <w:pStyle w:val="1"/>
      </w:pPr>
      <w:r>
        <w:t>4. Среда и надёжность / Environment and reliability</w:t>
      </w:r>
    </w:p>
    <w:p>
      <w:pPr>
        <w:jc w:val="both"/>
      </w:pPr>
      <w:r>
        <w:rPr>
          <w:b/>
        </w:rPr>
        <w:t xml:space="preserve">RU: </w:t>
      </w:r>
      <w:r>
        <w:t>Рабочая температура проекта −40…+70 °C; компоненты не хуже −40…+85 °C; требуется derating. Заряд LiFePO4 ниже 0 °C запрещён без одобренного нагрева или низкотемпературной зарядной системы.</w:t>
      </w:r>
      <w:r>
        <w:br/>
      </w:r>
      <w:r>
        <w:rPr>
          <w:b/>
        </w:rPr>
        <w:t xml:space="preserve">EN: </w:t>
      </w:r>
      <w:r>
        <w:t>Project operating ambient is −40…+70 °C; components are rated at least −40…+85 °C with derating. LiFePO4 charging below 0 °C is prohibited unless an approved heater or low-temperature charge system is used.</w:t>
      </w:r>
    </w:p>
    <w:p>
      <w:pPr>
        <w:pStyle w:val="1"/>
      </w:pPr>
      <w:r>
        <w:t>5. Производство и прослеживаемость / Manufacturing and traceability</w:t>
      </w:r>
    </w:p>
    <w:p>
      <w:pPr>
        <w:spacing w:after="40"/>
        <w:ind w:left="312" w:hanging="198"/>
      </w:pPr>
      <w:r>
        <w:t xml:space="preserve">• </w:t>
      </w:r>
      <w:r>
        <w:t>MPN точные, замена только по ECO.</w:t>
      </w:r>
      <w:r>
        <w:t xml:space="preserve"> / Exact MPNs; substitutions require an ECO.</w:t>
      </w:r>
    </w:p>
    <w:p>
      <w:pPr>
        <w:spacing w:after="40"/>
        <w:ind w:left="312" w:hanging="198"/>
      </w:pPr>
      <w:r>
        <w:t xml:space="preserve">• </w:t>
      </w:r>
      <w:r>
        <w:t>Каждое изделие имеет serial, traveller, версии HW/FW, партии компонентов и хеши evidence.</w:t>
      </w:r>
      <w:r>
        <w:t xml:space="preserve"> / Each unit has a serial, traveller, HW/FW versions, component lots and evidence hashes.</w:t>
      </w:r>
    </w:p>
    <w:p>
      <w:pPr>
        <w:spacing w:after="40"/>
        <w:ind w:left="312" w:hanging="198"/>
      </w:pPr>
      <w:r>
        <w:t xml:space="preserve">• </w:t>
      </w:r>
      <w:r>
        <w:t>100% EOL обязателен; любой обязательный FAIL блокирует изделие.</w:t>
      </w:r>
      <w:r>
        <w:t xml:space="preserve"> / 100% EOL is mandatory; any mandatory FAIL blocks the unit.</w:t>
      </w:r>
    </w:p>
    <w:p>
      <w:pPr>
        <w:spacing w:after="40"/>
        <w:ind w:left="312" w:hanging="198"/>
      </w:pPr>
      <w:r>
        <w:t xml:space="preserve">• </w:t>
      </w:r>
      <w:r>
        <w:t>Фабричная DFM/checkout-проверка выполняется по загружаемым production files до оплаты заказа.</w:t>
      </w:r>
      <w:r>
        <w:t xml:space="preserve"> / The factory DFM/checkout check is run against the uploaded production files before order payment.</w:t>
      </w:r>
    </w:p>
    <w:p>
      <w:pPr>
        <w:pStyle w:val="1"/>
      </w:pPr>
      <w:r>
        <w:t>6. Приёмочные критерии / Acceptance criteria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</w:tblPr>
      <w:tblGrid>
        <w:gridCol w:w="4680"/>
        <w:gridCol w:w="4680"/>
      </w:tblGrid>
      <w:tr>
        <w:tc>
          <w:tcPr>
            <w:tcW w:type="dxa" w:w="226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Область</w:t>
            </w:r>
          </w:p>
        </w:tc>
        <w:tc>
          <w:tcPr>
            <w:tcW w:type="dxa" w:w="737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Критерий / Criterion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PCB/PCBA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DRC/CAM/DFM без нерешённых блокирующих замечаний; AOI/X-ray где применимо</w:t>
            </w:r>
          </w:p>
        </w:tc>
      </w:tr>
      <w:tr>
        <w:tc>
          <w:tcPr>
            <w:tcW w:type="dxa" w:w="2268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Жгуты</w:t>
            </w:r>
          </w:p>
        </w:tc>
        <w:tc>
          <w:tcPr>
            <w:tcW w:type="dxa" w:w="7370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100% continuity, polarity, cross-short; сопротивление MIC/MAIN ≤0.15 Ω, BAT ≤0.10 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Механика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размеры, посадка, уплотнение, крутящие моменты, IP/leak evidence</w:t>
            </w:r>
          </w:p>
        </w:tc>
      </w:tr>
      <w:tr>
        <w:tc>
          <w:tcPr>
            <w:tcW w:type="dxa" w:w="2268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Станция</w:t>
            </w:r>
          </w:p>
        </w:tc>
        <w:tc>
          <w:tcPr>
            <w:tcW w:type="dxa" w:w="7370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полный EOL: power, audio, time, LTE, LoRa, BLE, mechanics, record completeness</w:t>
            </w:r>
          </w:p>
        </w:tc>
      </w:tr>
    </w:tbl>
    <w:sectPr w:rsidR="00C1460C">
      <w:headerReference w:type="default" r:id="rId7"/>
      <w:footerReference w:type="default" r:id="rId8"/>
      <w:headerReference w:type="first" r:id="rId9"/>
      <w:footerReference w:type="first" r:id="rId10"/>
      <w:headerReference w:type="even" r:id="rId11"/>
      <w:footerReference w:type="even" r:id="rId12"/>
      <w:pgSz w:w="11909" w:h="16834"/>
      <w:pgMar w:top="1138" w:right="850" w:bottom="1138" w:left="1699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709"/>
      <w:jc w:val="center"/>
    </w:pPr>
    <w:r>
      <w:rPr>
        <w:rFonts w:ascii="Times New Roman" w:hAnsi="Times New Roman"/>
        <w:sz w:val="16"/>
      </w:rPr>
      <w:t xml:space="preserve">EVT-PRE-20 • </w:t>
    </w:r>
    <w:r>
      <w:rPr>
        <w:rFonts w:ascii="Times New Roman" w:hAnsi="Times New Roman"/>
        <w:sz w:val="16"/>
      </w:rPr>
      <w:fldChar w:fldCharType="begin"/>
      <w:instrText xml:space="preserve">PAGE</w:instrText>
      <w:fldChar w:fldCharType="end"/>
    </w:r>
    <w:r>
      <w:t xml:space="preserve"> / </w:t>
    </w:r>
    <w:r>
      <w:rPr>
        <w:rFonts w:ascii="Times New Roman" w:hAnsi="Times New Roman"/>
        <w:sz w:val="16"/>
      </w:rPr>
      <w:fldChar w:fldCharType="begin"/>
      <w:instrText xml:space="preserve">NUMPAGES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709"/>
      <w:jc w:val="both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709"/>
      <w:jc w:val="both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ind w:firstLine="709"/>
      <w:jc w:val="right"/>
    </w:pPr>
    <w:r>
      <w:rPr>
        <w:rFonts w:ascii="Times New Roman" w:hAnsi="Times New Roman"/>
        <w:color w:val="666666"/>
        <w:sz w:val="16"/>
      </w:rPr>
      <w:t>ДИОНЕЯ / EVT-PRE-20 / REV_D7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ind w:firstLine="709"/>
      <w:jc w:val="both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ind w:firstLine="709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CB6815"/>
    <w:multiLevelType w:val="hybridMultilevel"/>
    <w:tmpl w:val="7CA66EFA"/>
    <w:lvl w:ilvl="0" w:tplc="0664AEB0">
      <w:start w:val="1"/>
      <w:numFmt w:val="bullet"/>
      <w:lvlText w:val="●"/>
      <w:lvlJc w:val="left"/>
      <w:pPr>
        <w:ind w:left="720" w:hanging="360"/>
      </w:pPr>
    </w:lvl>
    <w:lvl w:ilvl="1" w:tplc="040A714E">
      <w:start w:val="1"/>
      <w:numFmt w:val="bullet"/>
      <w:lvlText w:val="○"/>
      <w:lvlJc w:val="left"/>
      <w:pPr>
        <w:ind w:left="1440" w:hanging="360"/>
      </w:pPr>
    </w:lvl>
    <w:lvl w:ilvl="2" w:tplc="4C4A374E">
      <w:start w:val="1"/>
      <w:numFmt w:val="bullet"/>
      <w:lvlText w:val="■"/>
      <w:lvlJc w:val="left"/>
      <w:pPr>
        <w:ind w:left="2160" w:hanging="360"/>
      </w:pPr>
    </w:lvl>
    <w:lvl w:ilvl="3" w:tplc="339C33BC">
      <w:start w:val="1"/>
      <w:numFmt w:val="bullet"/>
      <w:lvlText w:val="●"/>
      <w:lvlJc w:val="left"/>
      <w:pPr>
        <w:ind w:left="2880" w:hanging="360"/>
      </w:pPr>
    </w:lvl>
    <w:lvl w:ilvl="4" w:tplc="2A9C1228">
      <w:start w:val="1"/>
      <w:numFmt w:val="bullet"/>
      <w:lvlText w:val="○"/>
      <w:lvlJc w:val="left"/>
      <w:pPr>
        <w:ind w:left="3600" w:hanging="360"/>
      </w:pPr>
    </w:lvl>
    <w:lvl w:ilvl="5" w:tplc="06AC5EE0">
      <w:start w:val="1"/>
      <w:numFmt w:val="bullet"/>
      <w:lvlText w:val="■"/>
      <w:lvlJc w:val="left"/>
      <w:pPr>
        <w:ind w:left="4320" w:hanging="360"/>
      </w:pPr>
    </w:lvl>
    <w:lvl w:ilvl="6" w:tplc="4FF4D4B6">
      <w:start w:val="1"/>
      <w:numFmt w:val="bullet"/>
      <w:lvlText w:val="●"/>
      <w:lvlJc w:val="left"/>
      <w:pPr>
        <w:ind w:left="5040" w:hanging="360"/>
      </w:pPr>
    </w:lvl>
    <w:lvl w:ilvl="7" w:tplc="EB442CA0">
      <w:start w:val="1"/>
      <w:numFmt w:val="bullet"/>
      <w:lvlText w:val="●"/>
      <w:lvlJc w:val="left"/>
      <w:pPr>
        <w:ind w:left="5760" w:hanging="360"/>
      </w:pPr>
    </w:lvl>
    <w:lvl w:ilvl="8" w:tplc="4FACCB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8F2FE4"/>
    <w:multiLevelType w:val="hybridMultilevel"/>
    <w:tmpl w:val="D806ED68"/>
    <w:lvl w:ilvl="0" w:tplc="49361BB8">
      <w:start w:val="1"/>
      <w:numFmt w:val="bullet"/>
      <w:lvlText w:val="–"/>
      <w:lvlJc w:val="left"/>
      <w:pPr>
        <w:ind w:left="709" w:hanging="360"/>
      </w:pPr>
    </w:lvl>
    <w:lvl w:ilvl="1" w:tplc="E3D26EB6">
      <w:numFmt w:val="decimal"/>
      <w:lvlText w:val=""/>
      <w:lvlJc w:val="left"/>
    </w:lvl>
    <w:lvl w:ilvl="2" w:tplc="966C2336">
      <w:numFmt w:val="decimal"/>
      <w:lvlText w:val=""/>
      <w:lvlJc w:val="left"/>
    </w:lvl>
    <w:lvl w:ilvl="3" w:tplc="4ACE3DC8">
      <w:numFmt w:val="decimal"/>
      <w:lvlText w:val=""/>
      <w:lvlJc w:val="left"/>
    </w:lvl>
    <w:lvl w:ilvl="4" w:tplc="9A204D6E">
      <w:numFmt w:val="decimal"/>
      <w:lvlText w:val=""/>
      <w:lvlJc w:val="left"/>
    </w:lvl>
    <w:lvl w:ilvl="5" w:tplc="E5B87016">
      <w:numFmt w:val="decimal"/>
      <w:lvlText w:val=""/>
      <w:lvlJc w:val="left"/>
    </w:lvl>
    <w:lvl w:ilvl="6" w:tplc="9FF8976A">
      <w:numFmt w:val="decimal"/>
      <w:lvlText w:val=""/>
      <w:lvlJc w:val="left"/>
    </w:lvl>
    <w:lvl w:ilvl="7" w:tplc="21AAC386">
      <w:numFmt w:val="decimal"/>
      <w:lvlText w:val=""/>
      <w:lvlJc w:val="left"/>
    </w:lvl>
    <w:lvl w:ilvl="8" w:tplc="76FAD47A">
      <w:numFmt w:val="decimal"/>
      <w:lvlText w:val=""/>
      <w:lvlJc w:val="left"/>
    </w:lvl>
  </w:abstractNum>
  <w:abstractNum w:abstractNumId="2" w15:restartNumberingAfterBreak="0">
    <w:nsid w:val="76590FD2"/>
    <w:multiLevelType w:val="hybridMultilevel"/>
    <w:tmpl w:val="2814FEC8"/>
    <w:lvl w:ilvl="0" w:tplc="C7467B06">
      <w:start w:val="1"/>
      <w:numFmt w:val="bullet"/>
      <w:lvlText w:val="–"/>
      <w:lvlJc w:val="left"/>
      <w:pPr>
        <w:ind w:left="709" w:hanging="360"/>
      </w:pPr>
    </w:lvl>
    <w:lvl w:ilvl="1" w:tplc="F950FBEE">
      <w:numFmt w:val="decimal"/>
      <w:lvlText w:val=""/>
      <w:lvlJc w:val="left"/>
    </w:lvl>
    <w:lvl w:ilvl="2" w:tplc="5F466C18">
      <w:numFmt w:val="decimal"/>
      <w:lvlText w:val=""/>
      <w:lvlJc w:val="left"/>
    </w:lvl>
    <w:lvl w:ilvl="3" w:tplc="37288B0A">
      <w:numFmt w:val="decimal"/>
      <w:lvlText w:val=""/>
      <w:lvlJc w:val="left"/>
    </w:lvl>
    <w:lvl w:ilvl="4" w:tplc="8D94FA60">
      <w:numFmt w:val="decimal"/>
      <w:lvlText w:val=""/>
      <w:lvlJc w:val="left"/>
    </w:lvl>
    <w:lvl w:ilvl="5" w:tplc="FA16C3C0">
      <w:numFmt w:val="decimal"/>
      <w:lvlText w:val=""/>
      <w:lvlJc w:val="left"/>
    </w:lvl>
    <w:lvl w:ilvl="6" w:tplc="41A85BD6">
      <w:numFmt w:val="decimal"/>
      <w:lvlText w:val=""/>
      <w:lvlJc w:val="left"/>
    </w:lvl>
    <w:lvl w:ilvl="7" w:tplc="B76053E6">
      <w:numFmt w:val="decimal"/>
      <w:lvlText w:val=""/>
      <w:lvlJc w:val="left"/>
    </w:lvl>
    <w:lvl w:ilvl="8" w:tplc="236C4C1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60C"/>
    <w:rsid w:val="00C1299D"/>
    <w:rsid w:val="00C1460C"/>
    <w:rsid w:val="00DD6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515CB"/>
  <w15:docId w15:val="{58EA10D7-BFEC-4107-84B1-97B6D1E41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line="240" w:lineRule="auto" w:before="0" w:after="40"/>
      <w:ind w:firstLine="709"/>
      <w:jc w:val="both"/>
    </w:pPr>
    <w:rPr>
      <w:rFonts w:ascii="Times New Roman" w:hAnsi="Times New Roman" w:eastAsia="Times New Roman"/>
      <w:b w:val="0"/>
      <w:sz w:val="19"/>
    </w:rPr>
  </w:style>
  <w:style w:type="paragraph" w:styleId="1">
    <w:name w:val="heading 1"/>
    <w:qFormat/>
    <w:pPr>
      <w:keepNext/>
      <w:spacing w:line="240" w:lineRule="auto" w:before="100" w:after="40"/>
      <w:ind w:firstLine="709"/>
      <w:jc w:val="both"/>
      <w:outlineLvl w:val="0"/>
    </w:pPr>
    <w:rPr>
      <w:rFonts w:ascii="Times New Roman" w:hAnsi="Times New Roman" w:eastAsia="Times New Roman"/>
      <w:b/>
      <w:bCs/>
      <w:color w:val="17365D"/>
      <w:sz w:val="24"/>
      <w:szCs w:val="32"/>
    </w:rPr>
  </w:style>
  <w:style w:type="paragraph" w:styleId="2">
    <w:name w:val="heading 2"/>
    <w:qFormat/>
    <w:pPr>
      <w:keepNext/>
      <w:spacing w:line="240" w:lineRule="auto" w:before="100" w:after="40"/>
      <w:ind w:firstLine="709"/>
      <w:jc w:val="both"/>
      <w:outlineLvl w:val="1"/>
    </w:pPr>
    <w:rPr>
      <w:rFonts w:ascii="Times New Roman" w:hAnsi="Times New Roman" w:eastAsia="Times New Roman"/>
      <w:b/>
      <w:bCs/>
      <w:color w:val="17365D"/>
      <w:sz w:val="21"/>
    </w:rPr>
  </w:style>
  <w:style w:type="paragraph" w:styleId="3">
    <w:name w:val="heading 3"/>
    <w:qFormat/>
    <w:pPr>
      <w:keepNext/>
      <w:spacing w:line="240" w:lineRule="auto" w:before="100" w:after="40"/>
      <w:ind w:firstLine="709"/>
      <w:jc w:val="both"/>
      <w:outlineLvl w:val="2"/>
    </w:pPr>
    <w:rPr>
      <w:rFonts w:ascii="Times New Roman" w:hAnsi="Times New Roman" w:eastAsia="Times New Roman"/>
      <w:b/>
      <w:color w:val="17365D"/>
      <w:sz w:val="20"/>
      <w:szCs w:val="24"/>
    </w:rPr>
  </w:style>
  <w:style w:type="paragraph" w:styleId="4">
    <w:name w:val="heading 4"/>
    <w:qFormat/>
    <w:pPr>
      <w:spacing w:line="240" w:lineRule="auto" w:before="0" w:after="0"/>
      <w:ind w:firstLine="709"/>
      <w:jc w:val="both"/>
      <w:outlineLvl w:val="3"/>
    </w:pPr>
    <w:rPr>
      <w:rFonts w:ascii="Times New Roman" w:hAnsi="Times New Roman"/>
      <w:b/>
      <w:i/>
      <w:iCs/>
      <w:color w:val="2E74B5"/>
      <w:sz w:val="28"/>
    </w:rPr>
  </w:style>
  <w:style w:type="paragraph" w:styleId="5">
    <w:name w:val="heading 5"/>
    <w:qFormat/>
    <w:pPr>
      <w:spacing w:line="240" w:lineRule="auto" w:before="0" w:after="0"/>
      <w:ind w:firstLine="709"/>
      <w:jc w:val="both"/>
      <w:outlineLvl w:val="4"/>
    </w:pPr>
    <w:rPr>
      <w:rFonts w:ascii="Times New Roman" w:hAnsi="Times New Roman"/>
      <w:b/>
      <w:color w:val="2E74B5"/>
      <w:sz w:val="28"/>
    </w:rPr>
  </w:style>
  <w:style w:type="paragraph" w:styleId="6">
    <w:name w:val="heading 6"/>
    <w:qFormat/>
    <w:pPr>
      <w:spacing w:line="240" w:lineRule="auto" w:before="0" w:after="0"/>
      <w:ind w:firstLine="709"/>
      <w:jc w:val="both"/>
      <w:outlineLvl w:val="5"/>
    </w:pPr>
    <w:rPr>
      <w:rFonts w:ascii="Times New Roman" w:hAnsi="Times New Roman"/>
      <w:b/>
      <w:color w:val="1F4D78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pPr>
      <w:keepNext/>
      <w:spacing w:line="240" w:lineRule="auto" w:before="100" w:after="40"/>
      <w:ind w:firstLine="709"/>
      <w:jc w:val="both"/>
    </w:pPr>
    <w:rPr>
      <w:rFonts w:ascii="Times New Roman" w:hAnsi="Times New Roman" w:eastAsia="Times New Roman"/>
      <w:b/>
      <w:color w:val="17365D"/>
      <w:sz w:val="30"/>
      <w:szCs w:val="56"/>
    </w:rPr>
  </w:style>
  <w:style w:type="paragraph" w:customStyle="1" w:styleId="10">
    <w:name w:val="Строгий1"/>
    <w:qFormat/>
    <w:pPr>
      <w:spacing w:line="240" w:lineRule="auto" w:before="0" w:after="0"/>
      <w:ind w:firstLine="709"/>
      <w:jc w:val="both"/>
    </w:pPr>
    <w:rPr>
      <w:rFonts w:ascii="Times New Roman" w:hAnsi="Times New Roman"/>
      <w:b w:val="0"/>
      <w:bCs/>
      <w:sz w:val="28"/>
    </w:rPr>
  </w:style>
  <w:style w:type="paragraph" w:styleId="a4">
    <w:name w:val="List Paragraph"/>
    <w:qFormat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</w:rPr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3247</Words>
  <Characters>18508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Проект Дионея / Dioneya project</dc:creator>
  <cp:lastModifiedBy>HP</cp:lastModifiedBy>
  <cp:revision>2</cp:revision>
  <dcterms:created xsi:type="dcterms:W3CDTF">2026-09-10T19:21:00Z</dcterms:created>
  <dcterms:modified xsi:type="dcterms:W3CDTF">2026-09-10T19:21:00Z</dcterms:modified>
  <dc:title>АКТУАЛИЗИРОВАННОЕ_ТЕХНИЧЕСКОЕ_ЗАДАНИЕ_EVT_PRE_20_REV_D7</dc:title>
  <dc:subject>Дионея EVT-PRE-20 производственный комплект REV_D7</dc:subject>
  <cp:keywords>EVT-PRE-20, REV_D7, manufacturing, Altium</cp:keywords>
</cp:coreProperties>
</file>