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pStyle w:val="a3"/>
        <w:jc w:val="center"/>
      </w:pPr>
      <w:r>
        <w:t>ЗАДАНИЕ НА ИЗГОТОВЛЕНИЕ И МОНТАЖ ПЛАТ</w:t>
      </w:r>
    </w:p>
    <w:p>
      <w:pPr>
        <w:jc w:val="center"/>
      </w:pPr>
      <w:r>
        <w:rPr>
          <w:b/>
          <w:color w:val="555555"/>
        </w:rPr>
        <w:t>PCB fabrication and assembly brief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4C6E7"/>
          <w:left w:val="single" w:sz="4" w:space="0" w:color="B4C6E7"/>
          <w:bottom w:val="single" w:sz="4" w:space="0" w:color="B4C6E7"/>
          <w:right w:val="single" w:sz="4" w:space="0" w:color="B4C6E7"/>
          <w:insideH w:val="single" w:sz="4" w:space="0" w:color="B4C6E7"/>
          <w:insideV w:val="single" w:sz="4" w:space="0" w:color="B4C6E7"/>
        </w:tblBorders>
      </w:tblPr>
      <w:tblGrid>
        <w:gridCol w:w="4680"/>
        <w:gridCol w:w="4680"/>
      </w:tblGrid>
      <w:tr>
        <w:tc>
          <w:tcPr>
            <w:tcW w:type="dxa" w:w="468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color w:val="17365D"/>
                <w:sz w:val="18"/>
              </w:rPr>
              <w:t>Конфигурация / Configuration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EVT-PRE-20</w:t>
            </w:r>
          </w:p>
        </w:tc>
      </w:tr>
      <w:tr>
        <w:tc>
          <w:tcPr>
            <w:tcW w:type="dxa" w:w="468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color w:val="17365D"/>
                <w:sz w:val="18"/>
              </w:rPr>
              <w:t>Ревизия / Revision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REV_D7</w:t>
            </w:r>
          </w:p>
        </w:tc>
      </w:tr>
      <w:tr>
        <w:tc>
          <w:tcPr>
            <w:tcW w:type="dxa" w:w="468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color w:val="17365D"/>
                <w:sz w:val="18"/>
              </w:rPr>
              <w:t>Дата / Date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16.10.2026</w:t>
            </w:r>
          </w:p>
        </w:tc>
      </w:tr>
      <w:tr>
        <w:tc>
          <w:tcPr>
            <w:tcW w:type="dxa" w:w="468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color w:val="17365D"/>
                <w:sz w:val="18"/>
              </w:rPr>
              <w:t>Статус / Status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ГОТОВ К ПЕРЕДАЧЕ / READY FOR HANDOFF</w:t>
            </w:r>
          </w:p>
        </w:tc>
      </w:tr>
      <w:tr>
        <w:tc>
          <w:tcPr>
            <w:tcW w:type="dxa" w:w="468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color w:val="17365D"/>
                <w:sz w:val="18"/>
              </w:rPr>
              <w:t>Объём / Scope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 управляемый лот, 20 станций / one controlled lot, 20 stations</w:t>
            </w:r>
          </w:p>
        </w:tc>
      </w:tr>
    </w:tbl>
    <w:p/>
    <w:p>
      <w:pPr>
        <w:pStyle w:val="1"/>
      </w:pPr>
      <w:r>
        <w:t>1. Заказ / Order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4C6E7"/>
          <w:left w:val="single" w:sz="4" w:space="0" w:color="B4C6E7"/>
          <w:bottom w:val="single" w:sz="4" w:space="0" w:color="B4C6E7"/>
          <w:right w:val="single" w:sz="4" w:space="0" w:color="B4C6E7"/>
          <w:insideH w:val="single" w:sz="4" w:space="0" w:color="B4C6E7"/>
          <w:insideV w:val="single" w:sz="4" w:space="0" w:color="B4C6E7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268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6"/>
              </w:rPr>
              <w:t>Плата</w:t>
            </w:r>
          </w:p>
        </w:tc>
        <w:tc>
          <w:tcPr>
            <w:tcW w:type="dxa" w:w="2835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6"/>
              </w:rPr>
              <w:t>PCBA для 20 станций</w:t>
            </w:r>
          </w:p>
        </w:tc>
        <w:tc>
          <w:tcPr>
            <w:tcW w:type="dxa" w:w="1134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6"/>
              </w:rPr>
              <w:t>Слои</w:t>
            </w:r>
          </w:p>
        </w:tc>
        <w:tc>
          <w:tcPr>
            <w:tcW w:type="dxa" w:w="3402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6"/>
              </w:rPr>
              <w:t>Master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PCB-MAIN Rev.B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20 + запас по BOM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8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Altium-8L-Rev-B</w:t>
            </w:r>
          </w:p>
        </w:tc>
      </w:tr>
      <w:tr>
        <w:tc>
          <w:tcPr>
            <w:tcW w:type="dxa" w:w="2268"/>
            <w:vAlign w:val="center"/>
            <w:shd w:fill="F5F7FA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PCB-PWR</w:t>
            </w:r>
          </w:p>
        </w:tc>
        <w:tc>
          <w:tcPr>
            <w:tcW w:type="dxa" w:w="2835"/>
            <w:vAlign w:val="center"/>
            <w:shd w:fill="F5F7FA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20 + запас по BOM</w:t>
            </w:r>
          </w:p>
        </w:tc>
        <w:tc>
          <w:tcPr>
            <w:tcW w:type="dxa" w:w="1134"/>
            <w:vAlign w:val="center"/>
            <w:shd w:fill="F5F7FA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4</w:t>
            </w:r>
          </w:p>
        </w:tc>
        <w:tc>
          <w:tcPr>
            <w:tcW w:type="dxa" w:w="3402"/>
            <w:vAlign w:val="center"/>
            <w:shd w:fill="F5F7FA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Altium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PCB-MIC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80 + запас по BOM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2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Altium</w:t>
            </w:r>
          </w:p>
        </w:tc>
      </w:tr>
    </w:tbl>
    <w:p>
      <w:pPr>
        <w:pStyle w:val="1"/>
      </w:pPr>
      <w:r>
        <w:t>2. Входной пакет / Input package</w:t>
      </w:r>
    </w:p>
    <w:p>
      <w:pPr>
        <w:spacing w:after="40"/>
        <w:ind w:left="312" w:hanging="198"/>
      </w:pPr>
      <w:r>
        <w:t xml:space="preserve">• </w:t>
      </w:r>
      <w:r>
        <w:t>Altium: PrjPcb, SchDoc, PcbDoc, SchLib/PcbLib и OutJob.</w:t>
      </w:r>
      <w:r>
        <w:t xml:space="preserve"> / Altium: PrjPcb, SchDoc, PcbDoc, SchLib/PcbLib and OutJob.</w:t>
      </w:r>
    </w:p>
    <w:p>
      <w:pPr>
        <w:spacing w:after="40"/>
        <w:ind w:left="312" w:hanging="198"/>
      </w:pPr>
      <w:r>
        <w:t xml:space="preserve">• </w:t>
      </w:r>
      <w:r>
        <w:t>CAM: Gerber X2, Excellon PTH/NPTH, IPC-D-356, fab/assembly PDF, PnP, BOM и STEP.</w:t>
      </w:r>
      <w:r>
        <w:t xml:space="preserve"> / CAM: Gerber X2, Excellon PTH/NPTH, IPC-D-356, fab/assembly PDF, PnP, BOM and STEP.</w:t>
      </w:r>
    </w:p>
    <w:p>
      <w:pPr>
        <w:spacing w:after="40"/>
        <w:ind w:left="312" w:hanging="198"/>
      </w:pPr>
      <w:r>
        <w:t xml:space="preserve">• </w:t>
      </w:r>
      <w:r>
        <w:t>Использовать только архив EVT_PRE_20_ПЛАТЫ_ЗАКАЗ_И_МОНТАЖ_ALTIUM_20261016_REV_D7.zip.</w:t>
      </w:r>
      <w:r>
        <w:t xml:space="preserve"> / Use only EVT_PRE_20_ПЛАТЫ_ЗАКАЗ_И_МОНТАЖ_ALTIUM_20261016_REV_D7.zip.</w:t>
      </w:r>
    </w:p>
    <w:p>
      <w:pPr>
        <w:pStyle w:val="1"/>
      </w:pPr>
      <w:r>
        <w:t>3. PCB-MAIN Rev.B</w:t>
      </w:r>
    </w:p>
    <w:p>
      <w:pPr>
        <w:jc w:val="both"/>
      </w:pPr>
      <w:r>
        <w:rPr>
          <w:b/>
        </w:rPr>
        <w:t xml:space="preserve">RU: </w:t>
      </w:r>
      <w:r>
        <w:t>8 слоёв; 110 × 75 × 1,6 мм; стек JLC08161H-3313; ENIG; внешняя медь 1 oz, внутренняя 0,5 oz; controlled impedance по приложенной таблице; 76 resin-filled/capped plated-over vias. Подрядчик подтверждает выбранный stackup и реальные ширины/зазоры до запуска.</w:t>
      </w:r>
      <w:r>
        <w:br/>
      </w:r>
      <w:r>
        <w:rPr>
          <w:b/>
        </w:rPr>
        <w:t xml:space="preserve">EN: </w:t>
      </w:r>
      <w:r>
        <w:t>8 layers; 110 × 75 × 1.6 mm; JLC08161H-3313 stack; ENIG; 1 oz outer and 0.5 oz inner copper; controlled impedance per the included table; 76 resin-filled, capped and plated-over vias. Supplier confirms the selected stack and production trace widths/gaps before build.</w:t>
      </w:r>
    </w:p>
    <w:p>
      <w:pPr>
        <w:pStyle w:val="1"/>
      </w:pPr>
      <w:r>
        <w:t>4. PCB-PWR и PCB-MIC</w:t>
      </w:r>
    </w:p>
    <w:p>
      <w:pPr>
        <w:jc w:val="both"/>
      </w:pPr>
      <w:r>
        <w:rPr>
          <w:b/>
        </w:rPr>
        <w:t xml:space="preserve">RU: </w:t>
      </w:r>
      <w:r>
        <w:t>PCB-PWR: 4 слоя, 90 × 60 × 1,6 мм, PTH/NPTH раздельно, силовые цепи и input protection проверить по DFM. PCB-MIC: 2 слоя, 24 × 22 мм, проверить акустический канал, ориентацию микрофона и панельный bore.</w:t>
      </w:r>
      <w:r>
        <w:br/>
      </w:r>
      <w:r>
        <w:rPr>
          <w:b/>
        </w:rPr>
        <w:t xml:space="preserve">EN: </w:t>
      </w:r>
      <w:r>
        <w:t>PCB-PWR: 4 layers, 90 × 60 × 1.6 mm, separate PTH/NPTH, DFM review of power and input-protection areas. PCB-MIC: 2 layers, 24 × 22 mm, verify acoustic path, microphone orientation and panel bore.</w:t>
      </w:r>
    </w:p>
    <w:p>
      <w:pPr>
        <w:pStyle w:val="1"/>
      </w:pPr>
      <w:r>
        <w:t>5. Монтаж и контроль / Assembly and inspection</w:t>
      </w:r>
    </w:p>
    <w:p>
      <w:pPr>
        <w:spacing w:after="40"/>
        <w:ind w:left="312" w:hanging="198"/>
      </w:pPr>
      <w:r>
        <w:t xml:space="preserve">• </w:t>
      </w:r>
      <w:r>
        <w:t>Запрещены замены MPN без ECO; DNP/DNI не устанавливать.</w:t>
      </w:r>
      <w:r>
        <w:t xml:space="preserve"> / No MPN substitutions without ECO; do not fit DNP/DNI parts.</w:t>
      </w:r>
    </w:p>
    <w:p>
      <w:pPr>
        <w:spacing w:after="40"/>
        <w:ind w:left="312" w:hanging="198"/>
      </w:pPr>
      <w:r>
        <w:t xml:space="preserve">• </w:t>
      </w:r>
      <w:r>
        <w:t>Проверить Pin 1, полярность, высоту, разъёмы, U.FL/SMA, SIM/microSD и механические keepout.</w:t>
      </w:r>
      <w:r>
        <w:t xml:space="preserve"> / Verify Pin 1, polarity, height, connectors, U.FL/SMA, SIM/microSD and mechanical keepouts.</w:t>
      </w:r>
    </w:p>
    <w:p>
      <w:pPr>
        <w:spacing w:after="40"/>
        <w:ind w:left="312" w:hanging="198"/>
      </w:pPr>
      <w:r>
        <w:t xml:space="preserve">• </w:t>
      </w:r>
      <w:r>
        <w:t>Выполнить AOI; X-ray для скрытых соединений/POFV по согласованному плану; электрический тест bare PCB.</w:t>
      </w:r>
      <w:r>
        <w:t xml:space="preserve"> / Perform AOI; use X-ray for hidden joints/POFV per the approved plan; electrically test bare PCBs.</w:t>
      </w:r>
    </w:p>
    <w:p>
      <w:pPr>
        <w:spacing w:after="40"/>
        <w:ind w:left="312" w:hanging="198"/>
      </w:pPr>
      <w:r>
        <w:t xml:space="preserve">• </w:t>
      </w:r>
      <w:r>
        <w:t>Поставка сопровождается CoC, stackup, finish/copper records, test and inspection reports.</w:t>
      </w:r>
      <w:r>
        <w:t xml:space="preserve"> / Delivery includes CoC, stackup, finish/copper records, test and inspection reports.</w:t>
      </w:r>
    </w:p>
    <w:p>
      <w:pPr>
        <w:pStyle w:val="1"/>
      </w:pPr>
      <w:r>
        <w:t>6. Стоп-условия / Stop conditions</w:t>
      </w:r>
    </w:p>
    <w:p>
      <w:pPr>
        <w:jc w:val="both"/>
      </w:pPr>
      <w:r>
        <w:rPr>
          <w:b/>
        </w:rPr>
        <w:t xml:space="preserve">RU: </w:t>
      </w:r>
      <w:r>
        <w:t>Несовпадение слоёв, контура, drill, BOM/PnP, stackup, impedance, POFV, полярности или ревизии блокирует запуск и оформляется вопросом DFM/ECO.</w:t>
      </w:r>
      <w:r>
        <w:br/>
      </w:r>
      <w:r>
        <w:rPr>
          <w:b/>
        </w:rPr>
        <w:t xml:space="preserve">EN: </w:t>
      </w:r>
      <w:r>
        <w:t>Any mismatch in layers, outline, drill, BOM/PnP, stackup, impedance, POFV, polarity or revision blocks launch and is raised as a DFM/ECO question.</w:t>
      </w:r>
    </w:p>
    <w:sectPr w:rsidR="00C1460C">
      <w:headerReference w:type="default" r:id="rId7"/>
      <w:footerReference w:type="default" r:id="rId8"/>
      <w:headerReference w:type="first" r:id="rId9"/>
      <w:footerReference w:type="first" r:id="rId10"/>
      <w:headerReference w:type="even" r:id="rId11"/>
      <w:footerReference w:type="even" r:id="rId12"/>
      <w:pgSz w:w="11909" w:h="16834"/>
      <w:pgMar w:top="1138" w:right="850" w:bottom="1138" w:left="1699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 w:before="0" w:after="0"/>
      <w:ind w:firstLine="709"/>
      <w:jc w:val="center"/>
    </w:pPr>
    <w:r>
      <w:rPr>
        <w:rFonts w:ascii="Times New Roman" w:hAnsi="Times New Roman"/>
        <w:sz w:val="16"/>
      </w:rPr>
      <w:t xml:space="preserve">EVT-PRE-20 • </w:t>
    </w:r>
    <w:r>
      <w:rPr>
        <w:rFonts w:ascii="Times New Roman" w:hAnsi="Times New Roman"/>
        <w:sz w:val="16"/>
      </w:rPr>
      <w:fldChar w:fldCharType="begin"/>
      <w:instrText xml:space="preserve">PAGE</w:instrText>
      <w:fldChar w:fldCharType="end"/>
    </w:r>
    <w:r>
      <w:t xml:space="preserve"> / </w:t>
    </w:r>
    <w:r>
      <w:rPr>
        <w:rFonts w:ascii="Times New Roman" w:hAnsi="Times New Roman"/>
        <w:sz w:val="16"/>
      </w:rPr>
      <w:fldChar w:fldCharType="begin"/>
      <w:instrText xml:space="preserve">NUMPAGES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 w:before="0" w:after="0"/>
      <w:ind w:firstLine="709"/>
      <w:jc w:val="both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 w:before="0" w:after="0"/>
      <w:ind w:firstLine="709"/>
      <w:jc w:val="both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240" w:lineRule="auto" w:before="0" w:after="0"/>
      <w:ind w:firstLine="709"/>
      <w:jc w:val="right"/>
    </w:pPr>
    <w:r>
      <w:rPr>
        <w:rFonts w:ascii="Times New Roman" w:hAnsi="Times New Roman"/>
        <w:color w:val="666666"/>
        <w:sz w:val="16"/>
      </w:rPr>
      <w:t>ДИОНЕЯ / EVT-PRE-20 / REV_D7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240" w:lineRule="auto" w:before="0" w:after="0"/>
      <w:ind w:firstLine="709"/>
      <w:jc w:val="both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240" w:lineRule="auto" w:before="0" w:after="0"/>
      <w:ind w:firstLine="709"/>
      <w:jc w:val="both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3CB6815"/>
    <w:multiLevelType w:val="hybridMultilevel"/>
    <w:tmpl w:val="7CA66EFA"/>
    <w:lvl w:ilvl="0" w:tplc="0664AEB0">
      <w:start w:val="1"/>
      <w:numFmt w:val="bullet"/>
      <w:lvlText w:val="●"/>
      <w:lvlJc w:val="left"/>
      <w:pPr>
        <w:ind w:left="720" w:hanging="360"/>
      </w:pPr>
    </w:lvl>
    <w:lvl w:ilvl="1" w:tplc="040A714E">
      <w:start w:val="1"/>
      <w:numFmt w:val="bullet"/>
      <w:lvlText w:val="○"/>
      <w:lvlJc w:val="left"/>
      <w:pPr>
        <w:ind w:left="1440" w:hanging="360"/>
      </w:pPr>
    </w:lvl>
    <w:lvl w:ilvl="2" w:tplc="4C4A374E">
      <w:start w:val="1"/>
      <w:numFmt w:val="bullet"/>
      <w:lvlText w:val="■"/>
      <w:lvlJc w:val="left"/>
      <w:pPr>
        <w:ind w:left="2160" w:hanging="360"/>
      </w:pPr>
    </w:lvl>
    <w:lvl w:ilvl="3" w:tplc="339C33BC">
      <w:start w:val="1"/>
      <w:numFmt w:val="bullet"/>
      <w:lvlText w:val="●"/>
      <w:lvlJc w:val="left"/>
      <w:pPr>
        <w:ind w:left="2880" w:hanging="360"/>
      </w:pPr>
    </w:lvl>
    <w:lvl w:ilvl="4" w:tplc="2A9C1228">
      <w:start w:val="1"/>
      <w:numFmt w:val="bullet"/>
      <w:lvlText w:val="○"/>
      <w:lvlJc w:val="left"/>
      <w:pPr>
        <w:ind w:left="3600" w:hanging="360"/>
      </w:pPr>
    </w:lvl>
    <w:lvl w:ilvl="5" w:tplc="06AC5EE0">
      <w:start w:val="1"/>
      <w:numFmt w:val="bullet"/>
      <w:lvlText w:val="■"/>
      <w:lvlJc w:val="left"/>
      <w:pPr>
        <w:ind w:left="4320" w:hanging="360"/>
      </w:pPr>
    </w:lvl>
    <w:lvl w:ilvl="6" w:tplc="4FF4D4B6">
      <w:start w:val="1"/>
      <w:numFmt w:val="bullet"/>
      <w:lvlText w:val="●"/>
      <w:lvlJc w:val="left"/>
      <w:pPr>
        <w:ind w:left="5040" w:hanging="360"/>
      </w:pPr>
    </w:lvl>
    <w:lvl w:ilvl="7" w:tplc="EB442CA0">
      <w:start w:val="1"/>
      <w:numFmt w:val="bullet"/>
      <w:lvlText w:val="●"/>
      <w:lvlJc w:val="left"/>
      <w:pPr>
        <w:ind w:left="5760" w:hanging="360"/>
      </w:pPr>
    </w:lvl>
    <w:lvl w:ilvl="8" w:tplc="4FACCBA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48F2FE4"/>
    <w:multiLevelType w:val="hybridMultilevel"/>
    <w:tmpl w:val="D806ED68"/>
    <w:lvl w:ilvl="0" w:tplc="49361BB8">
      <w:start w:val="1"/>
      <w:numFmt w:val="bullet"/>
      <w:lvlText w:val="–"/>
      <w:lvlJc w:val="left"/>
      <w:pPr>
        <w:ind w:left="709" w:hanging="360"/>
      </w:pPr>
    </w:lvl>
    <w:lvl w:ilvl="1" w:tplc="E3D26EB6">
      <w:numFmt w:val="decimal"/>
      <w:lvlText w:val=""/>
      <w:lvlJc w:val="left"/>
    </w:lvl>
    <w:lvl w:ilvl="2" w:tplc="966C2336">
      <w:numFmt w:val="decimal"/>
      <w:lvlText w:val=""/>
      <w:lvlJc w:val="left"/>
    </w:lvl>
    <w:lvl w:ilvl="3" w:tplc="4ACE3DC8">
      <w:numFmt w:val="decimal"/>
      <w:lvlText w:val=""/>
      <w:lvlJc w:val="left"/>
    </w:lvl>
    <w:lvl w:ilvl="4" w:tplc="9A204D6E">
      <w:numFmt w:val="decimal"/>
      <w:lvlText w:val=""/>
      <w:lvlJc w:val="left"/>
    </w:lvl>
    <w:lvl w:ilvl="5" w:tplc="E5B87016">
      <w:numFmt w:val="decimal"/>
      <w:lvlText w:val=""/>
      <w:lvlJc w:val="left"/>
    </w:lvl>
    <w:lvl w:ilvl="6" w:tplc="9FF8976A">
      <w:numFmt w:val="decimal"/>
      <w:lvlText w:val=""/>
      <w:lvlJc w:val="left"/>
    </w:lvl>
    <w:lvl w:ilvl="7" w:tplc="21AAC386">
      <w:numFmt w:val="decimal"/>
      <w:lvlText w:val=""/>
      <w:lvlJc w:val="left"/>
    </w:lvl>
    <w:lvl w:ilvl="8" w:tplc="76FAD47A">
      <w:numFmt w:val="decimal"/>
      <w:lvlText w:val=""/>
      <w:lvlJc w:val="left"/>
    </w:lvl>
  </w:abstractNum>
  <w:abstractNum w:abstractNumId="2" w15:restartNumberingAfterBreak="0">
    <w:nsid w:val="76590FD2"/>
    <w:multiLevelType w:val="hybridMultilevel"/>
    <w:tmpl w:val="2814FEC8"/>
    <w:lvl w:ilvl="0" w:tplc="C7467B06">
      <w:start w:val="1"/>
      <w:numFmt w:val="bullet"/>
      <w:lvlText w:val="–"/>
      <w:lvlJc w:val="left"/>
      <w:pPr>
        <w:ind w:left="709" w:hanging="360"/>
      </w:pPr>
    </w:lvl>
    <w:lvl w:ilvl="1" w:tplc="F950FBEE">
      <w:numFmt w:val="decimal"/>
      <w:lvlText w:val=""/>
      <w:lvlJc w:val="left"/>
    </w:lvl>
    <w:lvl w:ilvl="2" w:tplc="5F466C18">
      <w:numFmt w:val="decimal"/>
      <w:lvlText w:val=""/>
      <w:lvlJc w:val="left"/>
    </w:lvl>
    <w:lvl w:ilvl="3" w:tplc="37288B0A">
      <w:numFmt w:val="decimal"/>
      <w:lvlText w:val=""/>
      <w:lvlJc w:val="left"/>
    </w:lvl>
    <w:lvl w:ilvl="4" w:tplc="8D94FA60">
      <w:numFmt w:val="decimal"/>
      <w:lvlText w:val=""/>
      <w:lvlJc w:val="left"/>
    </w:lvl>
    <w:lvl w:ilvl="5" w:tplc="FA16C3C0">
      <w:numFmt w:val="decimal"/>
      <w:lvlText w:val=""/>
      <w:lvlJc w:val="left"/>
    </w:lvl>
    <w:lvl w:ilvl="6" w:tplc="41A85BD6">
      <w:numFmt w:val="decimal"/>
      <w:lvlText w:val=""/>
      <w:lvlJc w:val="left"/>
    </w:lvl>
    <w:lvl w:ilvl="7" w:tplc="B76053E6">
      <w:numFmt w:val="decimal"/>
      <w:lvlText w:val=""/>
      <w:lvlJc w:val="left"/>
    </w:lvl>
    <w:lvl w:ilvl="8" w:tplc="236C4C12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460C"/>
    <w:rsid w:val="00C1299D"/>
    <w:rsid w:val="00C1460C"/>
    <w:rsid w:val="00DD67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2515CB"/>
  <w15:docId w15:val="{58EA10D7-BFEC-4107-84B1-97B6D1E418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line="240" w:lineRule="auto" w:before="0" w:after="40"/>
      <w:ind w:firstLine="709"/>
      <w:jc w:val="both"/>
    </w:pPr>
    <w:rPr>
      <w:rFonts w:ascii="Times New Roman" w:hAnsi="Times New Roman" w:eastAsia="Times New Roman"/>
      <w:b w:val="0"/>
      <w:sz w:val="19"/>
    </w:rPr>
  </w:style>
  <w:style w:type="paragraph" w:styleId="1">
    <w:name w:val="heading 1"/>
    <w:qFormat/>
    <w:pPr>
      <w:keepNext/>
      <w:spacing w:line="240" w:lineRule="auto" w:before="100" w:after="40"/>
      <w:ind w:firstLine="709"/>
      <w:jc w:val="both"/>
      <w:outlineLvl w:val="0"/>
    </w:pPr>
    <w:rPr>
      <w:rFonts w:ascii="Times New Roman" w:hAnsi="Times New Roman" w:eastAsia="Times New Roman"/>
      <w:b/>
      <w:bCs/>
      <w:color w:val="17365D"/>
      <w:sz w:val="24"/>
      <w:szCs w:val="32"/>
    </w:rPr>
  </w:style>
  <w:style w:type="paragraph" w:styleId="2">
    <w:name w:val="heading 2"/>
    <w:qFormat/>
    <w:pPr>
      <w:keepNext/>
      <w:spacing w:line="240" w:lineRule="auto" w:before="100" w:after="40"/>
      <w:ind w:firstLine="709"/>
      <w:jc w:val="both"/>
      <w:outlineLvl w:val="1"/>
    </w:pPr>
    <w:rPr>
      <w:rFonts w:ascii="Times New Roman" w:hAnsi="Times New Roman" w:eastAsia="Times New Roman"/>
      <w:b/>
      <w:bCs/>
      <w:color w:val="17365D"/>
      <w:sz w:val="21"/>
    </w:rPr>
  </w:style>
  <w:style w:type="paragraph" w:styleId="3">
    <w:name w:val="heading 3"/>
    <w:qFormat/>
    <w:pPr>
      <w:keepNext/>
      <w:spacing w:line="240" w:lineRule="auto" w:before="100" w:after="40"/>
      <w:ind w:firstLine="709"/>
      <w:jc w:val="both"/>
      <w:outlineLvl w:val="2"/>
    </w:pPr>
    <w:rPr>
      <w:rFonts w:ascii="Times New Roman" w:hAnsi="Times New Roman" w:eastAsia="Times New Roman"/>
      <w:b/>
      <w:color w:val="17365D"/>
      <w:sz w:val="20"/>
      <w:szCs w:val="24"/>
    </w:rPr>
  </w:style>
  <w:style w:type="paragraph" w:styleId="4">
    <w:name w:val="heading 4"/>
    <w:qFormat/>
    <w:pPr>
      <w:spacing w:line="240" w:lineRule="auto" w:before="0" w:after="0"/>
      <w:ind w:firstLine="709"/>
      <w:jc w:val="both"/>
      <w:outlineLvl w:val="3"/>
    </w:pPr>
    <w:rPr>
      <w:rFonts w:ascii="Times New Roman" w:hAnsi="Times New Roman"/>
      <w:b/>
      <w:i/>
      <w:iCs/>
      <w:color w:val="2E74B5"/>
      <w:sz w:val="28"/>
    </w:rPr>
  </w:style>
  <w:style w:type="paragraph" w:styleId="5">
    <w:name w:val="heading 5"/>
    <w:qFormat/>
    <w:pPr>
      <w:spacing w:line="240" w:lineRule="auto" w:before="0" w:after="0"/>
      <w:ind w:firstLine="709"/>
      <w:jc w:val="both"/>
      <w:outlineLvl w:val="4"/>
    </w:pPr>
    <w:rPr>
      <w:rFonts w:ascii="Times New Roman" w:hAnsi="Times New Roman"/>
      <w:b/>
      <w:color w:val="2E74B5"/>
      <w:sz w:val="28"/>
    </w:rPr>
  </w:style>
  <w:style w:type="paragraph" w:styleId="6">
    <w:name w:val="heading 6"/>
    <w:qFormat/>
    <w:pPr>
      <w:spacing w:line="240" w:lineRule="auto" w:before="0" w:after="0"/>
      <w:ind w:firstLine="709"/>
      <w:jc w:val="both"/>
      <w:outlineLvl w:val="5"/>
    </w:pPr>
    <w:rPr>
      <w:rFonts w:ascii="Times New Roman" w:hAnsi="Times New Roman"/>
      <w:b/>
      <w:color w:val="1F4D78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pPr>
      <w:keepNext/>
      <w:spacing w:line="240" w:lineRule="auto" w:before="100" w:after="40"/>
      <w:ind w:firstLine="709"/>
      <w:jc w:val="both"/>
    </w:pPr>
    <w:rPr>
      <w:rFonts w:ascii="Times New Roman" w:hAnsi="Times New Roman" w:eastAsia="Times New Roman"/>
      <w:b/>
      <w:color w:val="17365D"/>
      <w:sz w:val="30"/>
      <w:szCs w:val="56"/>
    </w:rPr>
  </w:style>
  <w:style w:type="paragraph" w:customStyle="1" w:styleId="10">
    <w:name w:val="Строгий1"/>
    <w:qFormat/>
    <w:pPr>
      <w:spacing w:line="240" w:lineRule="auto" w:before="0" w:after="0"/>
      <w:ind w:firstLine="709"/>
      <w:jc w:val="both"/>
    </w:pPr>
    <w:rPr>
      <w:rFonts w:ascii="Times New Roman" w:hAnsi="Times New Roman"/>
      <w:b w:val="0"/>
      <w:bCs/>
      <w:sz w:val="28"/>
    </w:rPr>
  </w:style>
  <w:style w:type="paragraph" w:styleId="a4">
    <w:name w:val="List Paragraph"/>
    <w:qFormat/>
    <w:pPr>
      <w:spacing w:line="240" w:lineRule="auto" w:before="0" w:after="0"/>
      <w:ind w:firstLine="709"/>
      <w:jc w:val="both"/>
    </w:pPr>
    <w:rPr>
      <w:rFonts w:ascii="Times New Roman" w:hAnsi="Times New Roman"/>
      <w:b w:val="0"/>
      <w:sz w:val="28"/>
    </w:rPr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pPr>
      <w:spacing w:line="240" w:lineRule="auto" w:before="0" w:after="0"/>
      <w:ind w:firstLine="709"/>
      <w:jc w:val="both"/>
    </w:pPr>
    <w:rPr>
      <w:rFonts w:ascii="Times New Roman" w:hAnsi="Times New Roman"/>
      <w:b w:val="0"/>
      <w:sz w:val="28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pPr>
      <w:spacing w:line="240" w:lineRule="auto" w:before="0" w:after="0"/>
      <w:ind w:firstLine="709"/>
      <w:jc w:val="both"/>
    </w:pPr>
    <w:rPr>
      <w:rFonts w:ascii="Times New Roman" w:hAnsi="Times New Roman"/>
      <w:b w:val="0"/>
      <w:sz w:val="28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3247</Words>
  <Characters>18508</Characters>
  <Application>Microsoft Office Word</Application>
  <DocSecurity>0</DocSecurity>
  <Lines>154</Lines>
  <Paragraphs>43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21712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Проект Дионея / Dioneya project</dc:creator>
  <cp:lastModifiedBy>HP</cp:lastModifiedBy>
  <cp:revision>2</cp:revision>
  <dcterms:created xsi:type="dcterms:W3CDTF">2026-09-10T19:21:00Z</dcterms:created>
  <dcterms:modified xsi:type="dcterms:W3CDTF">2026-09-10T19:21:00Z</dcterms:modified>
  <dc:title>ЗАДАНИЕ_НА_ИЗГОТОВЛЕНИЕ_И_МОНТАЖ_ПЛАТ_ALTIUM_EVT_PRE_20_REV_D7</dc:title>
  <dc:subject>Дионея EVT-PRE-20 производственный комплект REV_D7</dc:subject>
  <cp:keywords>EVT-PRE-20, REV_D7, manufacturing, Altium</cp:keywords>
</cp:coreProperties>
</file>