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center"/>
      </w:pPr>
      <w:r>
        <w:t>ЗАДАНИЕ НА КОРПУСА, ЛИТЬЁ И 3D-ПЕЧАТЬ</w:t>
      </w:r>
    </w:p>
    <w:p>
      <w:pPr>
        <w:jc w:val="center"/>
      </w:pPr>
      <w:r>
        <w:rPr>
          <w:b/>
          <w:color w:val="555555"/>
        </w:rPr>
        <w:t>Enclosure casting and 3D printing brief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Конфигурация / Configuration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EVT-PRE-20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Ревизия / Revision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REV_D7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Дата / Date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16.10.2026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Статус / Status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ГОТОВ К ПЕРЕДАЧЕ / READY FOR HANDOFF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Объём / Scope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управляемый лот, 20 станций / one controlled lot, 20 stations</w:t>
            </w:r>
          </w:p>
        </w:tc>
      </w:tr>
    </w:tbl>
    <w:p/>
    <w:p>
      <w:pPr>
        <w:pStyle w:val="1"/>
      </w:pPr>
      <w:r>
        <w:t>1. Производственная стратегия / Manufacturing strategy</w:t>
      </w:r>
    </w:p>
    <w:p>
      <w:pPr>
        <w:jc w:val="both"/>
      </w:pPr>
      <w:r>
        <w:rPr>
          <w:b/>
        </w:rPr>
        <w:t xml:space="preserve">RU: </w:t>
      </w:r>
      <w:r>
        <w:t>Основной процесс EVT-20 — вакуумное литьё в силиконовые формы по печатным мастер-моделям. Передаваемые STEP/STL задают номинальную геометрию. Конструкцию формы, литники, воздухоотводы, усадочные и постобработочные припуски разрабатывает подрядчик и согласует по first article. Отдельная промышленная пресс-форма для ТПА в комплект не входит.</w:t>
      </w:r>
      <w:r>
        <w:br/>
      </w:r>
      <w:r>
        <w:rPr>
          <w:b/>
        </w:rPr>
        <w:t xml:space="preserve">EN: </w:t>
      </w:r>
      <w:r>
        <w:t>The primary EVT-20 process is vacuum casting in silicone molds from printed master patterns. Supplied STEP/STL files define nominal geometry. The supplier designs the mold, gates, vents, shrink and finishing allowances and obtains first-article approval. Dedicated injection-mold tooling CAD is outside this package.</w:t>
      </w:r>
    </w:p>
    <w:p>
      <w:pPr>
        <w:pStyle w:val="1"/>
      </w:pPr>
      <w:r>
        <w:t>2. Комплект деталей / Part set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Part number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Qty/station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Material/spec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DIO_HSG_ELECTRONICS_BASE_REV_A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Upper electronics base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UV-stabilized ASA</w:t>
            </w:r>
          </w:p>
        </w:tc>
      </w:tr>
      <w:tr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DIO_HSG_ELECTRONICS_LID_REV_A</w:t>
            </w:r>
          </w:p>
        </w:tc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Upper electronics lid</w:t>
            </w:r>
          </w:p>
        </w:tc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</w:t>
            </w:r>
          </w:p>
        </w:tc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UV-stabilized ASA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DIO_HSG_POWER_BASE_REV_A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RB40 battery base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UV-stabilized ASA</w:t>
            </w:r>
          </w:p>
        </w:tc>
      </w:tr>
      <w:tr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DIO_HSG_POWER_LID_REV_A</w:t>
            </w:r>
          </w:p>
        </w:tc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Power electronics lid</w:t>
            </w:r>
          </w:p>
        </w:tc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</w:t>
            </w:r>
          </w:p>
        </w:tc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UV-stabilized ASA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DIO_HSG_MIC_POD_BASE_REV_A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Microphone pod base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UV-stabilized ASA</w:t>
            </w:r>
          </w:p>
        </w:tc>
      </w:tr>
      <w:tr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DIO_HSG_MIC_POD_CAP_REV_A</w:t>
            </w:r>
          </w:p>
        </w:tc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Microphone pod cap</w:t>
            </w:r>
          </w:p>
        </w:tc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4</w:t>
            </w:r>
          </w:p>
        </w:tc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UV-stabilized ASA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DIO_SEAL_EPDM70_REV_A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Gasket set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Closed-cell EPDM 70 Shore A</w:t>
            </w:r>
          </w:p>
        </w:tc>
      </w:tr>
      <w:tr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DIO_INSERT_M3_M4_REV_A</w:t>
            </w:r>
          </w:p>
        </w:tc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Heat-set insert set</w:t>
            </w:r>
          </w:p>
        </w:tc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</w:t>
            </w:r>
          </w:p>
        </w:tc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Brass, knurled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DIO_FASTENER_A4_REV_A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Fastener set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A4 stainless</w:t>
            </w:r>
          </w:p>
        </w:tc>
      </w:tr>
      <w:tr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DIO_ACOUSTIC_MEMBRANE_PTFE_REV_A</w:t>
            </w:r>
          </w:p>
        </w:tc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Acoustic membrane set</w:t>
            </w:r>
          </w:p>
        </w:tc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4</w:t>
            </w:r>
          </w:p>
        </w:tc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Hydrophobic ePTFE</w:t>
            </w:r>
          </w:p>
        </w:tc>
      </w:tr>
    </w:tbl>
    <w:p>
      <w:pPr>
        <w:pStyle w:val="1"/>
      </w:pPr>
      <w:r>
        <w:t>3. Требования / Requirements</w:t>
      </w:r>
    </w:p>
    <w:p>
      <w:pPr>
        <w:spacing w:after="40"/>
        <w:ind w:left="312" w:hanging="198"/>
      </w:pPr>
      <w:r>
        <w:t xml:space="preserve">• </w:t>
      </w:r>
      <w:r>
        <w:t>наружные материалы UV-stable, негигроскопичные; целевой цвет и текстура согласуются по образцу</w:t>
      </w:r>
      <w:r>
        <w:t xml:space="preserve"> / external materials are UV-stable and non-hygroscopic; color and texture are approved on a sample</w:t>
      </w:r>
    </w:p>
    <w:p>
      <w:pPr>
        <w:spacing w:after="40"/>
        <w:ind w:left="312" w:hanging="198"/>
      </w:pPr>
      <w:r>
        <w:t xml:space="preserve">• </w:t>
      </w:r>
      <w:r>
        <w:t>закладные латунные M3/M4; крепёж A4 stainless; EPDM seal 15–25% compression</w:t>
      </w:r>
      <w:r>
        <w:t xml:space="preserve"> / brass M3/M4 inserts; A4 stainless fasteners; EPDM seal at 15–25% compression</w:t>
      </w:r>
    </w:p>
    <w:p>
      <w:pPr>
        <w:spacing w:after="40"/>
        <w:ind w:left="312" w:hanging="198"/>
      </w:pPr>
      <w:r>
        <w:t xml:space="preserve">• </w:t>
      </w:r>
      <w:r>
        <w:t>микрофонная мембрана hydrophobic ePTFE; не менять без акустической проверки</w:t>
      </w:r>
      <w:r>
        <w:t xml:space="preserve"> / hydrophobic ePTFE microphone membrane; no substitution without acoustic verification</w:t>
      </w:r>
    </w:p>
    <w:p>
      <w:pPr>
        <w:spacing w:after="40"/>
        <w:ind w:left="312" w:hanging="198"/>
      </w:pPr>
      <w:r>
        <w:t xml:space="preserve">• </w:t>
      </w:r>
      <w:r>
        <w:t>IP65 minimum/IP67 target подтверждаются собранным first article, не только материалом</w:t>
      </w:r>
      <w:r>
        <w:t xml:space="preserve"> / IP65 minimum/IP67 target is verified on the assembled first article, not by material declaration alone</w:t>
      </w:r>
    </w:p>
    <w:p>
      <w:pPr>
        <w:pStyle w:val="1"/>
      </w:pPr>
      <w:r>
        <w:t>4. Контроль первого образца / First article inspection</w:t>
      </w:r>
    </w:p>
    <w:p>
      <w:pPr>
        <w:jc w:val="both"/>
      </w:pPr>
      <w:r>
        <w:rPr>
          <w:b/>
        </w:rPr>
        <w:t xml:space="preserve">RU: </w:t>
      </w:r>
      <w:r>
        <w:t>Проверить DIM closure, посадку PCB/антенн/вводов/аккумулятора/MPPT, моменты вставок, герметичность, drainage/vent, термику, RF и акустическую АЧХ/фазу четырёх каналов. Остаток партии удерживать до письменного принятия.</w:t>
      </w:r>
      <w:r>
        <w:br/>
      </w:r>
      <w:r>
        <w:rPr>
          <w:b/>
        </w:rPr>
        <w:t xml:space="preserve">EN: </w:t>
      </w:r>
      <w:r>
        <w:t>Verify controlled dimensions, PCB/antenna/gland/battery/MPPT fit, insert torque, sealing, drainage/venting, thermal behavior, RF and four-channel acoustic magnitude/phase response. Hold the balance until written approval.</w:t>
      </w:r>
    </w:p>
    <w:p>
      <w:pPr>
        <w:pStyle w:val="1"/>
      </w:pPr>
      <w:r>
        <w:t>5. Файлы / Files</w:t>
      </w:r>
    </w:p>
    <w:p>
      <w:pPr>
        <w:jc w:val="both"/>
      </w:pPr>
      <w:r>
        <w:rPr>
          <w:b/>
        </w:rPr>
        <w:t xml:space="preserve">RU: </w:t>
      </w:r>
      <w:r>
        <w:t>Основной master: EVT_HOUSING_MASTER_REV_A.step. Для печати используются шесть управляемых STL. STEP плат применяются как контрольные envelope-модели.</w:t>
      </w:r>
      <w:r>
        <w:br/>
      </w:r>
      <w:r>
        <w:rPr>
          <w:b/>
        </w:rPr>
        <w:t xml:space="preserve">EN: </w:t>
      </w:r>
      <w:r>
        <w:t>Primary master: EVT_HOUSING_MASTER_REV_A.step. Six controlled STL files are provided for printing. Board STEP files are used as envelope references.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9" w:h="16834"/>
      <w:pgMar w:top="1138" w:right="850" w:bottom="1138" w:left="169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center"/>
    </w:pPr>
    <w:r>
      <w:rPr>
        <w:rFonts w:ascii="Times New Roman" w:hAnsi="Times New Roman"/>
        <w:sz w:val="16"/>
      </w:rPr>
      <w:t xml:space="preserve">EVT-PRE-20 • </w:t>
    </w:r>
    <w:r>
      <w:rPr>
        <w:rFonts w:ascii="Times New Roman" w:hAnsi="Times New Roman"/>
        <w:sz w:val="16"/>
      </w:rPr>
      <w:fldChar w:fldCharType="begin"/>
      <w:instrText xml:space="preserve">PAGE</w:instrText>
      <w:fldChar w:fldCharType="end"/>
    </w:r>
    <w:r>
      <w:t xml:space="preserve"> / </w:t>
    </w:r>
    <w:r>
      <w:rPr>
        <w:rFonts w:ascii="Times New Roman" w:hAnsi="Times New Roman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right"/>
    </w:pPr>
    <w:r>
      <w:rPr>
        <w:rFonts w:ascii="Times New Roman" w:hAnsi="Times New Roman"/>
        <w:color w:val="666666"/>
        <w:sz w:val="16"/>
      </w:rPr>
      <w:t>ДИОНЕЯ / EVT-PRE-20 / REV_D7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40"/>
      <w:ind w:firstLine="709"/>
      <w:jc w:val="both"/>
    </w:pPr>
    <w:rPr>
      <w:rFonts w:ascii="Times New Roman" w:hAnsi="Times New Roman" w:eastAsia="Times New Roman"/>
      <w:b w:val="0"/>
      <w:sz w:val="19"/>
    </w:rPr>
  </w:style>
  <w:style w:type="paragraph" w:styleId="1">
    <w:name w:val="heading 1"/>
    <w:qFormat/>
    <w:pPr>
      <w:keepNext/>
      <w:spacing w:line="240" w:lineRule="auto" w:before="100" w:after="40"/>
      <w:ind w:firstLine="709"/>
      <w:jc w:val="both"/>
      <w:outlineLvl w:val="0"/>
    </w:pPr>
    <w:rPr>
      <w:rFonts w:ascii="Times New Roman" w:hAnsi="Times New Roman" w:eastAsia="Times New Roman"/>
      <w:b/>
      <w:bCs/>
      <w:color w:val="17365D"/>
      <w:sz w:val="24"/>
      <w:szCs w:val="32"/>
    </w:rPr>
  </w:style>
  <w:style w:type="paragraph" w:styleId="2">
    <w:name w:val="heading 2"/>
    <w:qFormat/>
    <w:pPr>
      <w:keepNext/>
      <w:spacing w:line="240" w:lineRule="auto" w:before="100" w:after="40"/>
      <w:ind w:firstLine="709"/>
      <w:jc w:val="both"/>
      <w:outlineLvl w:val="1"/>
    </w:pPr>
    <w:rPr>
      <w:rFonts w:ascii="Times New Roman" w:hAnsi="Times New Roman" w:eastAsia="Times New Roman"/>
      <w:b/>
      <w:bCs/>
      <w:color w:val="17365D"/>
      <w:sz w:val="21"/>
    </w:rPr>
  </w:style>
  <w:style w:type="paragraph" w:styleId="3">
    <w:name w:val="heading 3"/>
    <w:qFormat/>
    <w:pPr>
      <w:keepNext/>
      <w:spacing w:line="240" w:lineRule="auto" w:before="100" w:after="40"/>
      <w:ind w:firstLine="709"/>
      <w:jc w:val="both"/>
      <w:outlineLvl w:val="2"/>
    </w:pPr>
    <w:rPr>
      <w:rFonts w:ascii="Times New Roman" w:hAnsi="Times New Roman" w:eastAsia="Times New Roman"/>
      <w:b/>
      <w:color w:val="17365D"/>
      <w:sz w:val="20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keepNext/>
      <w:spacing w:line="240" w:lineRule="auto" w:before="100" w:after="40"/>
      <w:ind w:firstLine="709"/>
      <w:jc w:val="both"/>
    </w:pPr>
    <w:rPr>
      <w:rFonts w:ascii="Times New Roman" w:hAnsi="Times New Roman" w:eastAsia="Times New Roman"/>
      <w:b/>
      <w:color w:val="17365D"/>
      <w:sz w:val="30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Проект Дионея / Dioneya project</dc:creator>
  <cp:lastModifiedBy>HP</cp:lastModifiedBy>
  <cp:revision>2</cp:revision>
  <dcterms:created xsi:type="dcterms:W3CDTF">2026-09-10T19:21:00Z</dcterms:created>
  <dcterms:modified xsi:type="dcterms:W3CDTF">2026-09-10T19:21:00Z</dcterms:modified>
  <dc:title>ЗАДАНИЕ_НА_КОРПУСА_ЛИТЬЕ_И_3D_ПЕЧАТЬ_EVT_PRE_20_REV_D7</dc:title>
  <dc:subject>Дионея EVT-PRE-20 производственный комплект REV_D7</dc:subject>
  <cp:keywords>EVT-PRE-20, REV_D7, manufacturing, Altium</cp:keywords>
</cp:coreProperties>
</file>