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ЗАЯВКА НА ЗАКУПКУ И СБОРКУ</w:t>
      </w:r>
    </w:p>
    <w:p>
      <w:pPr>
        <w:jc w:val="center"/>
      </w:pPr>
      <w:r>
        <w:rPr>
          <w:b/>
          <w:color w:val="555555"/>
        </w:rPr>
        <w:t>Procurement and assembly 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Заявка / Request</w:t>
      </w:r>
    </w:p>
    <w:p>
      <w:pPr>
        <w:jc w:val="both"/>
      </w:pPr>
      <w:r>
        <w:rPr>
          <w:b/>
        </w:rPr>
        <w:t xml:space="preserve">RU: </w:t>
      </w:r>
      <w:r>
        <w:t>Закупить комплектующие и заказать услуги для одного лота из 20 станций EVT-PRE-20, затем выполнить контролируемую сборку и 100% EOL. Использовать количества Procure_qty_20 из BOM REV_D7.</w:t>
      </w:r>
      <w:r>
        <w:br/>
      </w:r>
      <w:r>
        <w:rPr>
          <w:b/>
        </w:rPr>
        <w:t xml:space="preserve">EN: </w:t>
      </w:r>
      <w:r>
        <w:t>Procure parts and services for one 20-station EVT-PRE-20 lot, then perform controlled assembly and 100% EOL. Use Procure_qty_20 from BOM REV_D7.</w:t>
      </w:r>
    </w:p>
    <w:p>
      <w:pPr>
        <w:pStyle w:val="1"/>
      </w:pPr>
      <w:r>
        <w:t>2. Бюджетная оценка / Budget estimate</w:t>
      </w:r>
    </w:p>
    <w:p>
      <w:pPr>
        <w:jc w:val="both"/>
      </w:pPr>
      <w:r>
        <w:rPr>
          <w:b/>
        </w:rPr>
        <w:t xml:space="preserve">RU: </w:t>
      </w:r>
      <w:r>
        <w:t>Расчётная стоимость по ранее собранной ценовой базе составляет 4 228 880 руб. для Procure_qty_20. Это ориентир на 18.09.2026 без обязательств поставщиков; перед заказом закупка обновляет цену  наличие  MOQ  срок  налоги и доставку.</w:t>
      </w:r>
      <w:r>
        <w:br/>
      </w:r>
      <w:r>
        <w:rPr>
          <w:b/>
        </w:rPr>
        <w:t xml:space="preserve">EN: </w:t>
      </w:r>
      <w:r>
        <w:t>The prior price dataset yields a budgetary estimate of RUB 4,228,880 for Procure_qty_20. This is a non-binding 18 Sep 2026 estimate; procurement must refresh price, stock, MOQ, lead time, tax and freight before ordering.</w:t>
      </w:r>
    </w:p>
    <w:p>
      <w:pPr>
        <w:pStyle w:val="1"/>
      </w:pPr>
      <w:r>
        <w:t>3. Заказываемые работы / Ordered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Лот</w:t>
            </w:r>
          </w:p>
        </w:tc>
        <w:tc>
          <w:tcPr>
            <w:tcW w:type="dxa" w:w="158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Передаваемый комплект</w:t>
            </w:r>
          </w:p>
        </w:tc>
        <w:tc>
          <w:tcPr>
            <w:tcW w:type="dxa" w:w="300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Приёмка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PCB-MAIN PCBA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+ запас по BOM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Altium/CAM/BOM/PnP/PDF/STEP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DFM, electrical test, AOI, X-ray for POFV/BGA-risk areas as agreed</w:t>
            </w:r>
          </w:p>
        </w:tc>
      </w:tr>
      <w:tr>
        <w:tc>
          <w:tcPr>
            <w:tcW w:type="dxa" w:w="19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PCB-PWR PCBA</w:t>
            </w:r>
          </w:p>
        </w:tc>
        <w:tc>
          <w:tcPr>
            <w:tcW w:type="dxa" w:w="158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+ запас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Altium/CAM/BOM/PnP/PDF/STEP</w:t>
            </w:r>
          </w:p>
        </w:tc>
        <w:tc>
          <w:tcPr>
            <w:tcW w:type="dxa" w:w="300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DFM, electrical test, AOI, power visual review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PCB-MIC PCBA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80 + запас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Altium/CAM/BOM/PnP/PDF/STEP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panel bore/acoustic inspection, AOI</w:t>
            </w:r>
          </w:p>
        </w:tc>
      </w:tr>
      <w:tr>
        <w:tc>
          <w:tcPr>
            <w:tcW w:type="dxa" w:w="19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Жгуты</w:t>
            </w:r>
          </w:p>
        </w:tc>
        <w:tc>
          <w:tcPr>
            <w:tcW w:type="dxa" w:w="158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station sets + samples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pinout, schedule, drawing, XLSX</w:t>
            </w:r>
          </w:p>
        </w:tc>
        <w:tc>
          <w:tcPr>
            <w:tcW w:type="dxa" w:w="300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first-off crimp and 100% electrical test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Корпуса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 station sets + first articles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STEP/STL, drawings, material brief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dimension, fit, seal, surface and traceability</w:t>
            </w:r>
          </w:p>
        </w:tc>
      </w:tr>
      <w:tr>
        <w:tc>
          <w:tcPr>
            <w:tcW w:type="dxa" w:w="19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Сборка станций</w:t>
            </w:r>
          </w:p>
        </w:tc>
        <w:tc>
          <w:tcPr>
            <w:tcW w:type="dxa" w:w="158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</w:t>
            </w:r>
          </w:p>
        </w:tc>
        <w:tc>
          <w:tcPr>
            <w:tcW w:type="dxa" w:w="311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route, traveller, EOL program</w:t>
            </w:r>
          </w:p>
        </w:tc>
        <w:tc>
          <w:tcPr>
            <w:tcW w:type="dxa" w:w="300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100% EOL and signed records</w:t>
            </w:r>
          </w:p>
        </w:tc>
      </w:tr>
    </w:tbl>
    <w:p>
      <w:pPr>
        <w:pStyle w:val="1"/>
      </w:pPr>
      <w:r>
        <w:t>4. Коммерческие поля / Commercial completion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34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2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Заполняет закупка / Completed by procurement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Поставщик / Supplier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Quote / PO</w:t>
            </w:r>
          </w:p>
        </w:tc>
        <w:tc>
          <w:tcPr>
            <w:tcW w:type="dxa" w:w="623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Цена и валюта / Price and currency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MOQ</w:t>
            </w:r>
          </w:p>
        </w:tc>
        <w:tc>
          <w:tcPr>
            <w:tcW w:type="dxa" w:w="623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Срок / Lead time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Incoterms и доставка</w:t>
            </w:r>
          </w:p>
        </w:tc>
        <w:tc>
          <w:tcPr>
            <w:tcW w:type="dxa" w:w="623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Ответственный / Owner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выпуска заказа</w:t>
            </w:r>
          </w:p>
        </w:tc>
        <w:tc>
          <w:tcPr>
            <w:tcW w:type="dxa" w:w="623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>
      <w:pPr>
        <w:pStyle w:val="1"/>
      </w:pPr>
      <w:r>
        <w:t>5. Запреты / Restrictions</w:t>
      </w:r>
    </w:p>
    <w:p>
      <w:pPr>
        <w:spacing w:after="40"/>
        <w:ind w:left="312" w:hanging="198"/>
      </w:pPr>
      <w:r>
        <w:t xml:space="preserve">• </w:t>
      </w:r>
      <w:r>
        <w:t>Не заменять MPN и не менять stackup/finish без письменного ECO.</w:t>
      </w:r>
      <w:r>
        <w:t xml:space="preserve"> / Do not substitute MPNs or change stackup/finish without a written ECO.</w:t>
      </w:r>
    </w:p>
    <w:p>
      <w:pPr>
        <w:spacing w:after="40"/>
        <w:ind w:left="312" w:hanging="198"/>
      </w:pPr>
      <w:r>
        <w:t xml:space="preserve">• </w:t>
      </w:r>
      <w:r>
        <w:t>Не объединять REV_D7 с файлами ранних ревизий.</w:t>
      </w:r>
      <w:r>
        <w:t xml:space="preserve"> / Do not mix REV_D7 with earlier revisions.</w:t>
      </w:r>
    </w:p>
    <w:p>
      <w:pPr>
        <w:spacing w:after="40"/>
        <w:ind w:left="312" w:hanging="198"/>
      </w:pPr>
      <w:r>
        <w:t xml:space="preserve">• </w:t>
      </w:r>
      <w:r>
        <w:t>Не считать документальную готовность доказательством физического PASS.</w:t>
      </w:r>
      <w:r>
        <w:t xml:space="preserve"> / Do not treat document readiness as physical PASS evidence.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ЗАЯВКА_НА_ЗАКУПКУ_И_СБОРКУ_EVT_PRE_20_REV_D7</dc:title>
  <dc:subject>Дионея EVT-PRE-20 производственный комплект REV_D7</dc:subject>
  <cp:keywords>EVT-PRE-20, REV_D7, manufacturing, Altium</cp:keywords>
</cp:coreProperties>
</file>