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center"/>
      </w:pPr>
      <w:r>
        <w:t>РУКОВОДСТВО ПО СБОРКЕ СТАНЦИЙ</w:t>
      </w:r>
    </w:p>
    <w:p>
      <w:pPr>
        <w:jc w:val="center"/>
      </w:pPr>
      <w:r>
        <w:rPr>
          <w:b/>
          <w:color w:val="555555"/>
        </w:rPr>
        <w:t>Station assembly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Конфигурация / Configuration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EVT-PRE-20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Ревизия / Revision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REV_D7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Дата /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16.10.2026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Статус / Status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ГОТОВ К ПЕРЕДАЧЕ / READY FOR HANDOFF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17365D"/>
                <w:sz w:val="18"/>
              </w:rPr>
              <w:t>Объём / Scope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управляемый лот, 20 станций / one controlled lot, 20 stations</w:t>
            </w:r>
          </w:p>
        </w:tc>
      </w:tr>
    </w:tbl>
    <w:p/>
    <w:p>
      <w:pPr>
        <w:pStyle w:val="1"/>
      </w:pPr>
      <w:r>
        <w:t>1. Входной контроль / Incoming inspection</w:t>
      </w:r>
    </w:p>
    <w:p>
      <w:pPr>
        <w:jc w:val="both"/>
      </w:pPr>
      <w:r>
        <w:rPr>
          <w:b/>
        </w:rPr>
        <w:t xml:space="preserve">RU: </w:t>
      </w:r>
      <w:r>
        <w:t>До сборки сверить ревизию, MPN, количество, упаковку, ESD/MSL, механические размеры, сертификаты и результаты фабричного контроля. Несоответствие изолировать с NCR.</w:t>
      </w:r>
      <w:r>
        <w:br/>
      </w:r>
      <w:r>
        <w:rPr>
          <w:b/>
        </w:rPr>
        <w:t xml:space="preserve">EN: </w:t>
      </w:r>
      <w:r>
        <w:t>Before assembly verify revision, MPN, quantity, packaging, ESD/MSL, mechanical dimensions, certificates and factory inspection results. Segregate nonconforming material under NCR.</w:t>
      </w:r>
    </w:p>
    <w:p>
      <w:pPr>
        <w:pStyle w:val="1"/>
      </w:pPr>
      <w:r>
        <w:t>2. Последовательность / Sequence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120"/>
        <w:gridCol w:w="3120"/>
        <w:gridCol w:w="3120"/>
      </w:tblGrid>
      <w:tr>
        <w:tc>
          <w:tcPr>
            <w:tcW w:type="dxa" w:w="10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Операция / Operation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Критерий / Acceptance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MFG-010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Verify released manufacturing bundle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All hashes match and no OPEN blocker authorized for build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MFG-020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Verify materials and deviations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All items accepted or deviation signed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MFG-030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Select lot and assign serials travellers and housing plan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DIO-EVT-001 through DIO-EVT-020 assigned with no duplicates; all primary housings vacuum cast; 3D fallback controlled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MFG-040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Stencil paste placement and reflow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Profile within frozen paste limits and traceable batch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MFG-050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AOI visual and X-ray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IC-004 and IC-005 accepted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MFG-060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Bare power resistance check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rail-to-ground short against released limits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MFG-070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First power with current limit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latch-up overheating or current limit event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MFG-080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Program immutable boot foundation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Readback version and protection state match release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MFG-090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Program station and coprocessor test builds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Hashes and versions match selected release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MFG-100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PCB_MAIN boundary scan and interface self-test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All fitted interfaces including both SIM slots enumerate and test points pass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MFG-110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PCB_PWR load and protection test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All rails protection and temperature within frozen limits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MFG-120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PCB_MIC individual acoustic test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Identity sensitivity noise and phase within frozen limits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MFG-130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Build and verify harnesses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100 percent continuity polarity labels and length pass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MFG-140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Install PCB and antennas in electronics module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interference; antennas and coax routing match drawing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MFG-150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Assemble four-microphone geometry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Triangle sides and MIC4 offset within released tolerance</w:t>
            </w:r>
          </w:p>
        </w:tc>
      </w:tr>
      <w:tr>
        <w:tc>
          <w:tcPr>
            <w:tcW w:type="dxa" w:w="1020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MFG-160</w:t>
            </w:r>
          </w:p>
        </w:tc>
        <w:tc>
          <w:tcPr>
            <w:tcW w:type="dxa" w:w="396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Install seals membranes and vents</w:t>
            </w:r>
          </w:p>
        </w:tc>
        <w:tc>
          <w:tcPr>
            <w:tcW w:type="dxa" w:w="4649"/>
            <w:vAlign w:val="center"/>
            <w:shd w:fill="F5F7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Correct lot orientation compression and clean acoustic ports</w:t>
            </w:r>
          </w:p>
        </w:tc>
      </w:tr>
    </w:tbl>
    <w:p>
      <w:pPr>
        <w:pStyle w:val="1"/>
      </w:pPr>
      <w:r>
        <w:t>3. Критические правила / Critical rules</w:t>
      </w:r>
    </w:p>
    <w:p>
      <w:pPr>
        <w:spacing w:after="40"/>
        <w:ind w:left="312" w:hanging="198"/>
      </w:pPr>
      <w:r>
        <w:t xml:space="preserve">• </w:t>
      </w:r>
      <w:r>
        <w:t>Серийный номер и traveller назначаются до начала сборки.</w:t>
      </w:r>
      <w:r>
        <w:t xml:space="preserve"> / Assign serial number and traveller before assembly starts.</w:t>
      </w:r>
    </w:p>
    <w:p>
      <w:pPr>
        <w:spacing w:after="40"/>
        <w:ind w:left="312" w:hanging="198"/>
      </w:pPr>
      <w:r>
        <w:t xml:space="preserve">• </w:t>
      </w:r>
      <w:r>
        <w:t>RF порты не включать без согласованной нагрузки/антенны.</w:t>
      </w:r>
      <w:r>
        <w:t xml:space="preserve"> / Do not transmit into an unloaded RF port.</w:t>
      </w:r>
    </w:p>
    <w:p>
      <w:pPr>
        <w:spacing w:after="40"/>
        <w:ind w:left="312" w:hanging="198"/>
      </w:pPr>
      <w:r>
        <w:t xml:space="preserve">• </w:t>
      </w:r>
      <w:r>
        <w:t>Соблюдать полярность батареи, предохранитель у батареи и запрет заряда ниже 0 °C.</w:t>
      </w:r>
      <w:r>
        <w:t xml:space="preserve"> / Observe battery polarity, battery-side fuse and the below-zero charging prohibition.</w:t>
      </w:r>
    </w:p>
    <w:p>
      <w:pPr>
        <w:spacing w:after="40"/>
        <w:ind w:left="312" w:hanging="198"/>
      </w:pPr>
      <w:r>
        <w:t xml:space="preserve">• </w:t>
      </w:r>
      <w:r>
        <w:t>Четыре MIC-жгута одинаковой длины; лишнюю длину укладывать сервисной петлёй.</w:t>
      </w:r>
      <w:r>
        <w:t xml:space="preserve"> / All four MIC harnesses have equal length; place surplus in a service loop.</w:t>
      </w:r>
    </w:p>
    <w:p>
      <w:pPr>
        <w:spacing w:after="40"/>
        <w:ind w:left="312" w:hanging="198"/>
      </w:pPr>
      <w:r>
        <w:t xml:space="preserve">• </w:t>
      </w:r>
      <w:r>
        <w:t>После любого ремонта повторить затронутый тест и полный регрессионный EOL.</w:t>
      </w:r>
      <w:r>
        <w:t xml:space="preserve"> / After rework repeat the affected test and the full regression EOL.</w:t>
      </w:r>
    </w:p>
    <w:p>
      <w:pPr>
        <w:pStyle w:val="1"/>
      </w:pPr>
      <w:r>
        <w:t>4. Запись результатов / Records</w:t>
      </w:r>
    </w:p>
    <w:p>
      <w:pPr>
        <w:jc w:val="both"/>
      </w:pPr>
      <w:r>
        <w:rPr>
          <w:b/>
        </w:rPr>
        <w:t xml:space="preserve">RU: </w:t>
      </w:r>
      <w:r>
        <w:t>Для каждого шага фиксируются исполнитель, дата, оборудование, версия процедуры, результат, ссылка на фото/измерения и хеш evidence. Пустое обязательное поле блокирует PASS.</w:t>
      </w:r>
      <w:r>
        <w:br/>
      </w:r>
      <w:r>
        <w:rPr>
          <w:b/>
        </w:rPr>
        <w:t xml:space="preserve">EN: </w:t>
      </w:r>
      <w:r>
        <w:t>For each step record operator, date, equipment, procedure revision, result, photo/measurement reference and evidence hash. A blank mandatory field blocks PASS.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9" w:h="16834"/>
      <w:pgMar w:top="1138" w:right="850" w:bottom="1138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center"/>
    </w:pPr>
    <w:r>
      <w:rPr>
        <w:rFonts w:ascii="Times New Roman" w:hAnsi="Times New Roman"/>
        <w:sz w:val="16"/>
      </w:rPr>
      <w:t xml:space="preserve">EVT-PRE-20 • </w:t>
    </w:r>
    <w:r>
      <w:rPr>
        <w:rFonts w:ascii="Times New Roman" w:hAnsi="Times New Roman"/>
        <w:sz w:val="16"/>
      </w:rPr>
      <w:fldChar w:fldCharType="begin"/>
      <w:instrText xml:space="preserve">PAGE</w:instrText>
      <w:fldChar w:fldCharType="end"/>
    </w:r>
    <w:r>
      <w:t xml:space="preserve"> / </w:t>
    </w:r>
    <w:r>
      <w:rPr>
        <w:rFonts w:ascii="Times New Roman" w:hAnsi="Times New Roman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right"/>
    </w:pPr>
    <w:r>
      <w:rPr>
        <w:rFonts w:ascii="Times New Roman" w:hAnsi="Times New Roman"/>
        <w:color w:val="666666"/>
        <w:sz w:val="16"/>
      </w:rPr>
      <w:t>ДИОНЕЯ / EVT-PRE-20 / REV_D7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40"/>
      <w:ind w:firstLine="709"/>
      <w:jc w:val="both"/>
    </w:pPr>
    <w:rPr>
      <w:rFonts w:ascii="Times New Roman" w:hAnsi="Times New Roman" w:eastAsia="Times New Roman"/>
      <w:b w:val="0"/>
      <w:sz w:val="19"/>
    </w:rPr>
  </w:style>
  <w:style w:type="paragraph" w:styleId="1">
    <w:name w:val="heading 1"/>
    <w:qFormat/>
    <w:pPr>
      <w:keepNext/>
      <w:spacing w:line="240" w:lineRule="auto" w:before="100" w:after="40"/>
      <w:ind w:firstLine="709"/>
      <w:jc w:val="both"/>
      <w:outlineLvl w:val="0"/>
    </w:pPr>
    <w:rPr>
      <w:rFonts w:ascii="Times New Roman" w:hAnsi="Times New Roman" w:eastAsia="Times New Roman"/>
      <w:b/>
      <w:bCs/>
      <w:color w:val="17365D"/>
      <w:sz w:val="24"/>
      <w:szCs w:val="32"/>
    </w:rPr>
  </w:style>
  <w:style w:type="paragraph" w:styleId="2">
    <w:name w:val="heading 2"/>
    <w:qFormat/>
    <w:pPr>
      <w:keepNext/>
      <w:spacing w:line="240" w:lineRule="auto" w:before="100" w:after="40"/>
      <w:ind w:firstLine="709"/>
      <w:jc w:val="both"/>
      <w:outlineLvl w:val="1"/>
    </w:pPr>
    <w:rPr>
      <w:rFonts w:ascii="Times New Roman" w:hAnsi="Times New Roman" w:eastAsia="Times New Roman"/>
      <w:b/>
      <w:bCs/>
      <w:color w:val="17365D"/>
      <w:sz w:val="21"/>
    </w:rPr>
  </w:style>
  <w:style w:type="paragraph" w:styleId="3">
    <w:name w:val="heading 3"/>
    <w:qFormat/>
    <w:pPr>
      <w:keepNext/>
      <w:spacing w:line="240" w:lineRule="auto" w:before="100" w:after="40"/>
      <w:ind w:firstLine="709"/>
      <w:jc w:val="both"/>
      <w:outlineLvl w:val="2"/>
    </w:pPr>
    <w:rPr>
      <w:rFonts w:ascii="Times New Roman" w:hAnsi="Times New Roman" w:eastAsia="Times New Roman"/>
      <w:b/>
      <w:color w:val="17365D"/>
      <w:sz w:val="20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keepNext/>
      <w:spacing w:line="240" w:lineRule="auto" w:before="100" w:after="40"/>
      <w:ind w:firstLine="709"/>
      <w:jc w:val="both"/>
    </w:pPr>
    <w:rPr>
      <w:rFonts w:ascii="Times New Roman" w:hAnsi="Times New Roman" w:eastAsia="Times New Roman"/>
      <w:b/>
      <w:color w:val="17365D"/>
      <w:sz w:val="30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 Дионея / Dioneya project</dc:creator>
  <cp:lastModifiedBy>HP</cp:lastModifiedBy>
  <cp:revision>2</cp:revision>
  <dcterms:created xsi:type="dcterms:W3CDTF">2026-09-10T19:21:00Z</dcterms:created>
  <dcterms:modified xsi:type="dcterms:W3CDTF">2026-09-10T19:21:00Z</dcterms:modified>
  <dc:title>РУКОВОДСТВО_ПО_СБОРКЕ_СТАНЦИЙ_EVT_PRE_20_REV_D7</dc:title>
  <dc:subject>Дионея EVT-PRE-20 производственный комплект REV_D7</dc:subject>
  <cp:keywords>EVT-PRE-20, REV_D7, manufacturing, Altium</cp:keywords>
</cp:coreProperties>
</file>