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center"/>
      </w:pPr>
      <w:r>
        <w:t>СХЕМА ПОДКЛЮЧЕНИЙ И РАСПАЙКИ</w:t>
      </w:r>
    </w:p>
    <w:p>
      <w:pPr>
        <w:jc w:val="center"/>
      </w:pPr>
      <w:r>
        <w:rPr>
          <w:b/>
          <w:color w:val="555555"/>
        </w:rPr>
        <w:t>Interconnect and pinout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Конфигурация / Configuration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EVT-PRE-20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Ревизия / Revision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REV_D7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Дата /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16.10.2026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Статус / Status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ГОТОВ К ПЕРЕДАЧЕ / READY FOR HANDOFF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Объём / Scope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управляемый лот, 20 станций / one controlled lot, 20 stations</w:t>
            </w:r>
          </w:p>
        </w:tc>
      </w:tr>
    </w:tbl>
    <w:p/>
    <w:p>
      <w:pPr>
        <w:pStyle w:val="1"/>
      </w:pPr>
      <w:r>
        <w:t>1. Схема верхнего уровня / High-level diagram</w:t>
      </w:r>
    </w:p>
    <w:p>
      <w:r>
        <w:drawing>
          <wp:inline xmlns:a="http://schemas.openxmlformats.org/drawingml/2006/main" xmlns:pic="http://schemas.openxmlformats.org/drawingml/2006/picture">
            <wp:extent cx="6048000" cy="3986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хема_подключений_EVT_PRE_20_REV_D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8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</w:pPr>
      <w:r>
        <w:t>2. Ключевые межблочные соединения / Key interconnects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ID</w:t>
            </w:r>
          </w:p>
        </w:tc>
        <w:tc>
          <w:tcPr>
            <w:tcW w:type="dxa" w:w="255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От / From</w:t>
            </w:r>
          </w:p>
        </w:tc>
        <w:tc>
          <w:tcPr>
            <w:tcW w:type="dxa" w:w="255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К / To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Сигналы / Signals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LNK-001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SLD_Tech_SLP080S_12M PV_OUT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Victron_SmartSolar_75_10 PV_IN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PV+;PV-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LNK-002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Victron_SmartSolar_75_10 BAT_OUT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RELiON_RB40 M8_TERMINALS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BAT+;BAT-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LNK-003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RELiON_RB40 M8_TERMINALS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PCB_PWR J_PWR_IN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VBAT+;VBAT-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LNK-004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PCB_PWR J_MAIN_PWR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PCB_MAIN J_PWR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3V8_MODEM;GND_MODEM;3V3_DIGITAL;GND_DIGITAL;1V8_MIC;GND_MIC;PWR_GOOD;FAULT;EN_MODEM;EN_AUX;I2C2_SCL;I2C2_SDA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LNK-005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PCB_MAIN J_MIC1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PCB_MIC_1 J1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1V8_MIC;GND;PDM_CLK;PDM_DATA1;MIC_WAKE1;AAD_CFG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LNK-006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PCB_MAIN J_MIC2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PCB_MIC_2 J1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1V8_MIC;GND;PDM_CLK;PDM_DATA2;MIC_WAKE2;AAD_CFG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LNK-007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PCB_MAIN J_MIC3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PCB_MIC_3 J1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1V8_MIC;GND;PDM_CLK;PDM_DATA3;MIC_WAKE3;AAD_CFG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LNK-008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PCB_MAIN J_MIC4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PCB_MIC_4 J1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1V8_MIC;GND;PDM_CLK;PDM_DATA4;MIC_WAKE4;AAD_CFG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LNK-010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BG95 U8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Cellular_SMA_bulkhead AE1_BH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RF_CELL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LNK-012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MAX_M10S U9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GNSS_SMA_bulkhead AE2_BH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RF_GNSS_BIASED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LNK-014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LoRa_module U10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LoRa_SMA_bulkhead AE3_BH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RF_LORA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LNK-029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RELiON_RB40 BT1_BODY_AND_M8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Victron_SmartSolar_75_10 SCC075010060R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BAT_TEMP;BAT_VOLTAGE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LNK-030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Cellular_SMA_bulkhead AE1_BH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Taoglas_G30_B_108111 ANT_CELL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RF_CELL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LNK-031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GNSS_SMA_bulkhead AE2_BH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Taoglas_AA_166_A_301111 ANT_GNSS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RF_GNSS_BIASED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LNK-032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LoRa_SMA_bulkhead AE3_BH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Taoglas_TI_89_B_2111W ANT_LORA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RF_LORA</w:t>
            </w:r>
          </w:p>
        </w:tc>
      </w:tr>
    </w:tbl>
    <w:p>
      <w:pPr>
        <w:pStyle w:val="1"/>
      </w:pPr>
      <w:r>
        <w:t>3. Правила распайки / Wiring rules</w:t>
      </w:r>
    </w:p>
    <w:p>
      <w:pPr>
        <w:spacing w:after="40"/>
        <w:ind w:left="312" w:hanging="198"/>
      </w:pPr>
      <w:r>
        <w:t xml:space="preserve">• </w:t>
      </w:r>
      <w:r>
        <w:t>Контакты и полости задаются только книгой REV_D7 и исходными CSV; перестановка запрещена.</w:t>
      </w:r>
      <w:r>
        <w:t xml:space="preserve"> / Pins and cavities are defined only by the REV_D7 workbook and source CSV files; swapping is prohibited.</w:t>
      </w:r>
    </w:p>
    <w:p>
      <w:pPr>
        <w:spacing w:after="40"/>
        <w:ind w:left="312" w:hanging="198"/>
      </w:pPr>
      <w:r>
        <w:t xml:space="preserve">• </w:t>
      </w:r>
      <w:r>
        <w:t>Силовые и сигнальные возвраты не объединять произвольно; экран/пара вести по указанному правилу.</w:t>
      </w:r>
      <w:r>
        <w:t xml:space="preserve"> / Do not arbitrarily combine power and signal returns; follow the specified shield/pair rule.</w:t>
      </w:r>
    </w:p>
    <w:p>
      <w:pPr>
        <w:spacing w:after="40"/>
        <w:ind w:left="312" w:hanging="198"/>
      </w:pPr>
      <w:r>
        <w:t xml:space="preserve">• </w:t>
      </w:r>
      <w:r>
        <w:t>MIC CLK/DATA/WAKE/AAD_CFG вести в одинаковых жгутах и не менять соответствие MIC1…MIC4.</w:t>
      </w:r>
      <w:r>
        <w:t xml:space="preserve"> / Route MIC CLK/DATA/WAKE/AAD_CFG in identical harnesses and preserve MIC1…MIC4 mapping.</w:t>
      </w:r>
    </w:p>
    <w:p>
      <w:pPr>
        <w:spacing w:after="40"/>
        <w:ind w:left="312" w:hanging="198"/>
      </w:pPr>
      <w:r>
        <w:t xml:space="preserve">• </w:t>
      </w:r>
      <w:r>
        <w:t>RF коаксиалы 50 Ω, соблюсти U.FL/SMA ориентацию, радиус изгиба и маркировку CELL/GNSS/LORA.</w:t>
      </w:r>
      <w:r>
        <w:t xml:space="preserve"> / Use 50-ohm RF coax, preserve U.FL/SMA orientation, bend radius and CELL/GNSS/LORA labels.</w:t>
      </w:r>
    </w:p>
    <w:p>
      <w:pPr>
        <w:pStyle w:val="1"/>
      </w:pPr>
      <w:r>
        <w:t>4. Проверка / Verification</w:t>
      </w:r>
    </w:p>
    <w:p>
      <w:pPr>
        <w:jc w:val="both"/>
      </w:pPr>
      <w:r>
        <w:rPr>
          <w:b/>
        </w:rPr>
        <w:t xml:space="preserve">RU: </w:t>
      </w:r>
      <w:r>
        <w:t>До включения выполнить continuity/polarity/cross-short. Первое включение — от ограниченного источника с контролем тока. Все RF передатчики работают только с нагрузкой. Полная таблица из 32 связей, 66 MCU pins и 43 harness pins находится в XLSX/CSV.</w:t>
      </w:r>
      <w:r>
        <w:br/>
      </w:r>
      <w:r>
        <w:rPr>
          <w:b/>
        </w:rPr>
        <w:t xml:space="preserve">EN: </w:t>
      </w:r>
      <w:r>
        <w:t>Before power-up perform continuity, polarity and cross-short checks. First power-up uses a current-limited supply. RF transmitters operate only into a load. The full 32-link, 66-MCU-pin and 43-harness-pin tables are in XLSX/CSV.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9" w:h="16834"/>
      <w:pgMar w:top="1138" w:right="850" w:bottom="1138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center"/>
    </w:pPr>
    <w:r>
      <w:rPr>
        <w:rFonts w:ascii="Times New Roman" w:hAnsi="Times New Roman"/>
        <w:sz w:val="16"/>
      </w:rPr>
      <w:t xml:space="preserve">EVT-PRE-20 • </w:t>
    </w:r>
    <w:r>
      <w:rPr>
        <w:rFonts w:ascii="Times New Roman" w:hAnsi="Times New Roman"/>
        <w:sz w:val="16"/>
      </w:rPr>
      <w:fldChar w:fldCharType="begin"/>
      <w:instrText xml:space="preserve">PAGE</w:instrText>
      <w:fldChar w:fldCharType="end"/>
    </w:r>
    <w:r>
      <w:t xml:space="preserve"> / </w:t>
    </w:r>
    <w:r>
      <w:rPr>
        <w:rFonts w:ascii="Times New Roman" w:hAnsi="Times New Roman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right"/>
    </w:pPr>
    <w:r>
      <w:rPr>
        <w:rFonts w:ascii="Times New Roman" w:hAnsi="Times New Roman"/>
        <w:color w:val="666666"/>
        <w:sz w:val="16"/>
      </w:rPr>
      <w:t>ДИОНЕЯ / EVT-PRE-20 / REV_D7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40"/>
      <w:ind w:firstLine="709"/>
      <w:jc w:val="both"/>
    </w:pPr>
    <w:rPr>
      <w:rFonts w:ascii="Times New Roman" w:hAnsi="Times New Roman" w:eastAsia="Times New Roman"/>
      <w:b w:val="0"/>
      <w:sz w:val="19"/>
    </w:rPr>
  </w:style>
  <w:style w:type="paragraph" w:styleId="1">
    <w:name w:val="heading 1"/>
    <w:qFormat/>
    <w:pPr>
      <w:keepNext/>
      <w:spacing w:line="240" w:lineRule="auto" w:before="100" w:after="40"/>
      <w:ind w:firstLine="709"/>
      <w:jc w:val="both"/>
      <w:outlineLvl w:val="0"/>
    </w:pPr>
    <w:rPr>
      <w:rFonts w:ascii="Times New Roman" w:hAnsi="Times New Roman" w:eastAsia="Times New Roman"/>
      <w:b/>
      <w:bCs/>
      <w:color w:val="17365D"/>
      <w:sz w:val="24"/>
      <w:szCs w:val="32"/>
    </w:rPr>
  </w:style>
  <w:style w:type="paragraph" w:styleId="2">
    <w:name w:val="heading 2"/>
    <w:qFormat/>
    <w:pPr>
      <w:keepNext/>
      <w:spacing w:line="240" w:lineRule="auto" w:before="100" w:after="40"/>
      <w:ind w:firstLine="709"/>
      <w:jc w:val="both"/>
      <w:outlineLvl w:val="1"/>
    </w:pPr>
    <w:rPr>
      <w:rFonts w:ascii="Times New Roman" w:hAnsi="Times New Roman" w:eastAsia="Times New Roman"/>
      <w:b/>
      <w:bCs/>
      <w:color w:val="17365D"/>
      <w:sz w:val="21"/>
    </w:rPr>
  </w:style>
  <w:style w:type="paragraph" w:styleId="3">
    <w:name w:val="heading 3"/>
    <w:qFormat/>
    <w:pPr>
      <w:keepNext/>
      <w:spacing w:line="240" w:lineRule="auto" w:before="100" w:after="40"/>
      <w:ind w:firstLine="709"/>
      <w:jc w:val="both"/>
      <w:outlineLvl w:val="2"/>
    </w:pPr>
    <w:rPr>
      <w:rFonts w:ascii="Times New Roman" w:hAnsi="Times New Roman" w:eastAsia="Times New Roman"/>
      <w:b/>
      <w:color w:val="17365D"/>
      <w:sz w:val="20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keepNext/>
      <w:spacing w:line="240" w:lineRule="auto" w:before="100" w:after="40"/>
      <w:ind w:firstLine="709"/>
      <w:jc w:val="both"/>
    </w:pPr>
    <w:rPr>
      <w:rFonts w:ascii="Times New Roman" w:hAnsi="Times New Roman" w:eastAsia="Times New Roman"/>
      <w:b/>
      <w:color w:val="17365D"/>
      <w:sz w:val="30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 Дионея / Dioneya project</dc:creator>
  <cp:lastModifiedBy>HP</cp:lastModifiedBy>
  <cp:revision>2</cp:revision>
  <dcterms:created xsi:type="dcterms:W3CDTF">2026-09-10T19:21:00Z</dcterms:created>
  <dcterms:modified xsi:type="dcterms:W3CDTF">2026-09-10T19:21:00Z</dcterms:modified>
  <dc:title>СХЕМА_ПОДКЛЮЧЕНИЙ_И_РАСПАЙКИ_EVT_PRE_20_REV_D7</dc:title>
  <dc:subject>Дионея EVT-PRE-20 производственный комплект REV_D7</dc:subject>
  <cp:keywords>EVT-PRE-20, REV_D7, manufacturing, Altium</cp:keywords>
</cp:coreProperties>
</file>