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jc w:val="center"/>
      </w:pPr>
      <w:r>
        <w:t>ТЕХНИЧЕСКИЙ ПРОЕКТ</w:t>
      </w:r>
    </w:p>
    <w:p>
      <w:pPr>
        <w:jc w:val="center"/>
      </w:pPr>
      <w:r>
        <w:rPr>
          <w:b/>
          <w:color w:val="555555"/>
        </w:rPr>
        <w:t>Technical design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Конфигурация / Configuration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EVT-PRE-20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Ревизия / Revision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REV_D7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Дата / Date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16.10.2026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Статус / Status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ГОТОВ К ПЕРЕДАЧЕ / READY FOR HANDOFF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Объём / Scope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управляемый лот, 20 станций / one controlled lot, 20 stations</w:t>
            </w:r>
          </w:p>
        </w:tc>
      </w:tr>
    </w:tbl>
    <w:p/>
    <w:p>
      <w:pPr>
        <w:pStyle w:val="1"/>
      </w:pPr>
      <w:r>
        <w:t>1. Состав станции / Station composition</w:t>
      </w:r>
    </w:p>
    <w:p>
      <w:pPr>
        <w:jc w:val="both"/>
      </w:pPr>
      <w:r>
        <w:rPr>
          <w:b/>
        </w:rPr>
        <w:t xml:space="preserve">RU: </w:t>
      </w:r>
      <w:r>
        <w:t>Станция состоит из верхнего электронно-акустического модуля, нижнего силового модуля, внешней солнечной панели, аккумулятора, MPPT, трёх внешних RF/GNSS антенн и соединительных жгутов.</w:t>
      </w:r>
      <w:r>
        <w:br/>
      </w:r>
      <w:r>
        <w:rPr>
          <w:b/>
        </w:rPr>
        <w:t xml:space="preserve">EN: </w:t>
      </w:r>
      <w:r>
        <w:t>The station consists of an upper electronics/acoustic module, a lower power module, external solar panel, battery, MPPT, three external RF/GNSS antennas and interconnecting harnesses.</w:t>
      </w:r>
    </w:p>
    <w:p>
      <w:r>
        <w:drawing>
          <wp:inline xmlns:a="http://schemas.openxmlformats.org/drawingml/2006/main" xmlns:pic="http://schemas.openxmlformats.org/drawingml/2006/picture">
            <wp:extent cx="6048000" cy="3986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хема_подключений_EVT_PRE_20_REV_D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98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Архитектура EVT-PRE-20 / Figure 1 — EVT-PRE-20 architecture</w:t>
      </w:r>
    </w:p>
    <w:p>
      <w:pPr>
        <w:pStyle w:val="1"/>
      </w:pPr>
      <w:r>
        <w:t>2. Печатные узлы / PCB assemblies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Плата</w:t>
            </w:r>
          </w:p>
        </w:tc>
        <w:tc>
          <w:tcPr>
            <w:tcW w:type="dxa" w:w="170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Кол-во/станцию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Слои</w:t>
            </w:r>
          </w:p>
        </w:tc>
        <w:tc>
          <w:tcPr>
            <w:tcW w:type="dxa" w:w="453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Функция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PCB-MAIN Rev.B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MCU, storage, LTE, GNSS, LoRa, BLE, interfaces</w:t>
            </w:r>
          </w:p>
        </w:tc>
      </w:tr>
      <w:tr>
        <w:tc>
          <w:tcPr>
            <w:tcW w:type="dxa" w:w="226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PCB-PWR</w:t>
            </w:r>
          </w:p>
        </w:tc>
        <w:tc>
          <w:tcPr>
            <w:tcW w:type="dxa" w:w="170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453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input protection, 3.8 V, 3.3 V, 1.8 V, monitoring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PCB-MIC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PDM microphone leaf and acoustic front end</w:t>
            </w:r>
          </w:p>
        </w:tc>
      </w:tr>
    </w:tbl>
    <w:p>
      <w:pPr>
        <w:pStyle w:val="1"/>
      </w:pPr>
      <w:r>
        <w:t>3. Электропитание / Power chain</w:t>
      </w:r>
    </w:p>
    <w:p>
      <w:pPr>
        <w:jc w:val="both"/>
      </w:pPr>
      <w:r>
        <w:rPr>
          <w:b/>
        </w:rPr>
        <w:t xml:space="preserve">RU: </w:t>
      </w:r>
      <w:r>
        <w:t>PV через MPPT заряжает LiFePO4. PCB-PWR получает защищённую батарейную шину и формирует управляемые питания. PCB-MAIN контролирует PWR_GOOD, FAULT и EN_*; силовые и сигнальные возвраты разведены по назначению.</w:t>
      </w:r>
      <w:r>
        <w:br/>
      </w:r>
      <w:r>
        <w:rPr>
          <w:b/>
        </w:rPr>
        <w:t xml:space="preserve">EN: </w:t>
      </w:r>
      <w:r>
        <w:t>PV charges the LiFePO4 battery through the MPPT. PCB-PWR receives the protected battery rail and generates controlled supplies. PCB-MAIN monitors PWR_GOOD, FAULT and EN_*; power and signal returns are assigned by function.</w:t>
      </w:r>
    </w:p>
    <w:p>
      <w:pPr>
        <w:pStyle w:val="1"/>
      </w:pPr>
      <w:r>
        <w:t>4. Данные и время / Data and time</w:t>
      </w:r>
    </w:p>
    <w:p>
      <w:pPr>
        <w:jc w:val="both"/>
      </w:pPr>
      <w:r>
        <w:rPr>
          <w:b/>
        </w:rPr>
        <w:t xml:space="preserve">RU: </w:t>
      </w:r>
      <w:r>
        <w:t>Основной канал — исходящее MQTT/TLS; резерв — HTTPS/TLS. GNSS применяется для времени и контроля целостности позиции, а авторитетные координаты задаются при вводе в эксплуатацию. Локальная настройка и подписанное обновление выполняются через BLE.</w:t>
      </w:r>
      <w:r>
        <w:br/>
      </w:r>
      <w:r>
        <w:rPr>
          <w:b/>
        </w:rPr>
        <w:t xml:space="preserve">EN: </w:t>
      </w:r>
      <w:r>
        <w:t>Primary transport is outbound MQTT/TLS with HTTPS/TLS fallback. GNSS provides time and position-integrity monitoring; authoritative coordinates are commissioned. BLE provides local setup and signed update.</w:t>
      </w:r>
    </w:p>
    <w:p>
      <w:pPr>
        <w:pStyle w:val="1"/>
      </w:pPr>
      <w:r>
        <w:t>5. Механика / Mechanics</w:t>
      </w:r>
    </w:p>
    <w:p>
      <w:pPr>
        <w:jc w:val="both"/>
      </w:pPr>
      <w:r>
        <w:rPr>
          <w:b/>
        </w:rPr>
        <w:t xml:space="preserve">RU: </w:t>
      </w:r>
      <w:r>
        <w:t>Первичный процесс EVT — вакуумное литьё по печатным мастерам. Поставщику передаются STEP/STL, ведомость материалов и контрольные размеры. Разработка силиконовой формы и технологических припусков выполняется литейным подрядчиком по заданию REV_D7 и согласуется по first article.</w:t>
      </w:r>
      <w:r>
        <w:br/>
      </w:r>
      <w:r>
        <w:rPr>
          <w:b/>
        </w:rPr>
        <w:t xml:space="preserve">EN: </w:t>
      </w:r>
      <w:r>
        <w:t>The primary EVT process is vacuum casting from printed masters. The supplier receives STEP/STL, material list and controlled dimensions. Silicone mold design and process allowances are prepared by the casting supplier under REV_D7 and approved on the first article.</w:t>
      </w:r>
    </w:p>
    <w:p>
      <w:pPr>
        <w:pStyle w:val="1"/>
      </w:pPr>
      <w:r>
        <w:t>6. Управление конфигурацией / Configuration control</w:t>
      </w:r>
    </w:p>
    <w:p>
      <w:pPr>
        <w:jc w:val="both"/>
      </w:pPr>
      <w:r>
        <w:rPr>
          <w:b/>
        </w:rPr>
        <w:t xml:space="preserve">RU: </w:t>
      </w:r>
      <w:r>
        <w:t>Авторитетный комплект маркируется EVT-PRE-20 REV_D7. Несоответствие архива манифесту SHA-256, смешивание ревизий или наличие KiCad в фабричном архиве блокирует заказ.</w:t>
      </w:r>
      <w:r>
        <w:br/>
      </w:r>
      <w:r>
        <w:rPr>
          <w:b/>
        </w:rPr>
        <w:t xml:space="preserve">EN: </w:t>
      </w:r>
      <w:r>
        <w:t>The authoritative set is marked EVT-PRE-20 REV_D7. A SHA-256 manifest mismatch, mixed revisions or KiCad content in the factory archive blocks the order.</w:t>
      </w:r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9" w:h="16834"/>
      <w:pgMar w:top="1138" w:right="850" w:bottom="1138" w:left="169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center"/>
    </w:pPr>
    <w:r>
      <w:rPr>
        <w:rFonts w:ascii="Times New Roman" w:hAnsi="Times New Roman"/>
        <w:sz w:val="16"/>
      </w:rPr>
      <w:t xml:space="preserve">EVT-PRE-20 • </w:t>
    </w:r>
    <w:r>
      <w:rPr>
        <w:rFonts w:ascii="Times New Roman" w:hAnsi="Times New Roman"/>
        <w:sz w:val="16"/>
      </w:rPr>
      <w:fldChar w:fldCharType="begin"/>
      <w:instrText xml:space="preserve">PAGE</w:instrText>
      <w:fldChar w:fldCharType="end"/>
    </w:r>
    <w:r>
      <w:t xml:space="preserve"> / </w:t>
    </w:r>
    <w:r>
      <w:rPr>
        <w:rFonts w:ascii="Times New Roman" w:hAnsi="Times New Roman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right"/>
    </w:pPr>
    <w:r>
      <w:rPr>
        <w:rFonts w:ascii="Times New Roman" w:hAnsi="Times New Roman"/>
        <w:color w:val="666666"/>
        <w:sz w:val="16"/>
      </w:rPr>
      <w:t>ДИОНЕЯ / EVT-PRE-20 / REV_D7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40"/>
      <w:ind w:firstLine="709"/>
      <w:jc w:val="both"/>
    </w:pPr>
    <w:rPr>
      <w:rFonts w:ascii="Times New Roman" w:hAnsi="Times New Roman" w:eastAsia="Times New Roman"/>
      <w:b w:val="0"/>
      <w:sz w:val="19"/>
    </w:rPr>
  </w:style>
  <w:style w:type="paragraph" w:styleId="1">
    <w:name w:val="heading 1"/>
    <w:qFormat/>
    <w:pPr>
      <w:keepNext/>
      <w:spacing w:line="240" w:lineRule="auto" w:before="100" w:after="40"/>
      <w:ind w:firstLine="709"/>
      <w:jc w:val="both"/>
      <w:outlineLvl w:val="0"/>
    </w:pPr>
    <w:rPr>
      <w:rFonts w:ascii="Times New Roman" w:hAnsi="Times New Roman" w:eastAsia="Times New Roman"/>
      <w:b/>
      <w:bCs/>
      <w:color w:val="17365D"/>
      <w:sz w:val="24"/>
      <w:szCs w:val="32"/>
    </w:rPr>
  </w:style>
  <w:style w:type="paragraph" w:styleId="2">
    <w:name w:val="heading 2"/>
    <w:qFormat/>
    <w:pPr>
      <w:keepNext/>
      <w:spacing w:line="240" w:lineRule="auto" w:before="100" w:after="40"/>
      <w:ind w:firstLine="709"/>
      <w:jc w:val="both"/>
      <w:outlineLvl w:val="1"/>
    </w:pPr>
    <w:rPr>
      <w:rFonts w:ascii="Times New Roman" w:hAnsi="Times New Roman" w:eastAsia="Times New Roman"/>
      <w:b/>
      <w:bCs/>
      <w:color w:val="17365D"/>
      <w:sz w:val="21"/>
    </w:rPr>
  </w:style>
  <w:style w:type="paragraph" w:styleId="3">
    <w:name w:val="heading 3"/>
    <w:qFormat/>
    <w:pPr>
      <w:keepNext/>
      <w:spacing w:line="240" w:lineRule="auto" w:before="100" w:after="40"/>
      <w:ind w:firstLine="709"/>
      <w:jc w:val="both"/>
      <w:outlineLvl w:val="2"/>
    </w:pPr>
    <w:rPr>
      <w:rFonts w:ascii="Times New Roman" w:hAnsi="Times New Roman" w:eastAsia="Times New Roman"/>
      <w:b/>
      <w:color w:val="17365D"/>
      <w:sz w:val="20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keepNext/>
      <w:spacing w:line="240" w:lineRule="auto" w:before="100" w:after="40"/>
      <w:ind w:firstLine="709"/>
      <w:jc w:val="both"/>
    </w:pPr>
    <w:rPr>
      <w:rFonts w:ascii="Times New Roman" w:hAnsi="Times New Roman" w:eastAsia="Times New Roman"/>
      <w:b/>
      <w:color w:val="17365D"/>
      <w:sz w:val="30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Проект Дионея / Dioneya project</dc:creator>
  <cp:lastModifiedBy>HP</cp:lastModifiedBy>
  <cp:revision>2</cp:revision>
  <dcterms:created xsi:type="dcterms:W3CDTF">2026-09-10T19:21:00Z</dcterms:created>
  <dcterms:modified xsi:type="dcterms:W3CDTF">2026-09-10T19:21:00Z</dcterms:modified>
  <dc:title>ТЕХНИЧЕСКИЙ_ПРОЕКТ_EVT_PRE_20_REV_D7</dc:title>
  <dc:subject>Дионея EVT-PRE-20 производственный комплект REV_D7</dc:subject>
  <cp:keywords>EVT-PRE-20, REV_D7, manufacturing, Altium</cp:keywords>
</cp:coreProperties>
</file>