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Задание на изготовление и монтаж плат EVT-PRE-20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Rev D заменяет Rev C. Передавать фабрике только папки из этого архива и проверять контрольные суммы манифеста.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PCB-MAIN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Плата PCB-MAIN разведена: DRC 0 ошибок, 0 незавершённых соединений, ERC 0. Заказать и изготовить все 22 PCBA одной партией без паузы; два изделия выбрать из готовой партии для углублённого AOI, электрических и ВЧ-испытаний EVT. U12 microSD вне платы; DNP: 15 позиций. Базис: 8 слоёв, 1,6 мм, ENIG, 1 oz наружной и 0,5 oz внутренней меди. Фабрика письменно подтверждает заполнение эпоксидом и медное закрытие всех 76 переходов из заказного CSV, включая C6.1 и D11.1, до запуска панели. По решению заказчика на EVT плата остаётся без переразводки; контролируемый импеданс и численная цель 50 Ом не заказываются. Ширина ВЧ-дорожек не является гарантией 50 Ом. Фактический stack ID и межслойные диэлектрики фиксируются при DFM; отклонения проходят ECO.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PCB-PWR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Заказать и изготовить все 22 PCB-PWR PCBA одной партией без паузы: 20 для станций и 2 резервные. Базис: четыре слоя, 1,6 мм, ENIG, медь 1 oz / 35 мкм на всех четырёх слоях. До панели фабрика подтверждает stack ID, металлизацию переходных отверстий и DFM. После изготовления два изделия выбираются для углублённого AOI и электрического контроля; при дефектах рассматривается вся затронутая партия.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PCB-MIC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Заказать и изготовить все 80 PCB-MIC PCBA одной партией без паузы. Геометрия Rev B и технические проверки подписанного Review B сохраняются. Условие Review B о выпуске сначала одной платы или панели заменено требованием заказчика к очередности заказа; новая подпись технического Review B не создаётся. После изготовления проверить выбранную плату или панель по акустическому порту, MK1 и PDM, а при дефекте разобрать всю затронутую партию. DRC/ERC/unconnected: 0/0/0.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Запрещено использовать PCB-MIC из Rev C: в нём были ошибочные метки сверления и геометрия кольца MK1. Rev D содержит отдельные PTH/NPTH, исправленный трафарет и точные MPN.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Общие правила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Любое предложение фабрики, изменяющее стек, CAM, отверстия, трафарет, посадочные места, MPN или панель, регистрируется до производства. Отчёты электротеста, AOI/X-ray и DFM включаются в дело заказа.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