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40" w:lineRule="auto" w:before="0" w:after="0"/>
        <w:ind w:firstLine="0"/>
        <w:jc w:val="both"/>
      </w:pPr>
      <w:r>
        <w:rPr>
          <w:rFonts w:ascii="Times New Roman" w:hAnsi="Times New Roman" w:eastAsia="Times New Roman" w:cs="Times New Roman"/>
          <w:b/>
          <w:sz w:val="28"/>
        </w:rPr>
        <w:t>Извещение к заказу EVT-PRE-20 Rev D / Rev D order clarification</w:t>
      </w:r>
    </w:p>
    <w:p>
      <w:pPr>
        <w:spacing w:line="240" w:lineRule="auto" w:before="0" w:after="0"/>
        <w:ind w:firstLine="709"/>
        <w:jc w:val="both"/>
      </w:pPr>
      <w:r>
        <w:rPr>
          <w:rFonts w:ascii="Times New Roman" w:hAnsi="Times New Roman" w:eastAsia="Times New Roman" w:cs="Times New Roman"/>
          <w:b w:val="0"/>
          <w:sz w:val="28"/>
        </w:rPr>
        <w:t>Дата: 30.09.2026. Документ распространяется на переданный производственный пакет Rev D и уточняет порядок заказа PCB-MAIN, PCB-PWR и PCB-MIC по требованию заказчика.</w:t>
      </w:r>
    </w:p>
    <w:p>
      <w:pPr>
        <w:pStyle w:val="Heading1"/>
        <w:spacing w:line="240" w:lineRule="auto" w:before="0" w:after="0"/>
        <w:ind w:firstLine="0"/>
        <w:jc w:val="both"/>
      </w:pPr>
      <w:r>
        <w:rPr>
          <w:rFonts w:ascii="Times New Roman" w:hAnsi="Times New Roman" w:eastAsia="Times New Roman" w:cs="Times New Roman"/>
          <w:b/>
          <w:sz w:val="28"/>
        </w:rPr>
        <w:t>Решение по объёму и последовательности</w:t>
      </w:r>
    </w:p>
    <w:p>
      <w:pPr>
        <w:spacing w:line="240" w:lineRule="auto" w:before="0" w:after="0"/>
        <w:ind w:firstLine="709"/>
        <w:jc w:val="both"/>
      </w:pPr>
      <w:r>
        <w:rPr>
          <w:rFonts w:ascii="Times New Roman" w:hAnsi="Times New Roman" w:eastAsia="Times New Roman" w:cs="Times New Roman"/>
          <w:b w:val="0"/>
          <w:sz w:val="28"/>
        </w:rPr>
        <w:t>Весь объём заказывается сразу: PCB-MAIN 22 PCBA, PCB-PWR 22 PCBA, PCB-MIC 80 PCBA. Изготовление и монтаж каждой партии выполняются без технологической паузы после первых образцов. Формулировки Rev D «сначала 2, затем 20» и «сначала 1, затем 79» в части очередности заменяются этим извещением. Количества, Gerber, сверловка, BOM и координаты не меняются.</w:t>
      </w:r>
    </w:p>
    <w:p>
      <w:pPr>
        <w:spacing w:line="240" w:lineRule="auto" w:before="0" w:after="0"/>
        <w:ind w:firstLine="709"/>
        <w:jc w:val="both"/>
      </w:pPr>
      <w:r>
        <w:rPr>
          <w:rFonts w:ascii="Times New Roman" w:hAnsi="Times New Roman" w:eastAsia="Times New Roman" w:cs="Times New Roman"/>
          <w:b w:val="0"/>
          <w:sz w:val="28"/>
        </w:rPr>
        <w:t>PCB-MAIN остаётся в текущей трассировке. Для этой партии не заказываются контролируемый импеданс и гарантия 50 Ом. До запуска панели фабрика подтверждает выбранный стек, DFM и эпоксидное заполнение с медным закрытием всех 76 переходов по заказному CSV, включая C6.1 и D11.1. Невозможность выполнить это требование или иное изменение производственных файлов требует остановки запуска панели и ECO.</w:t>
      </w:r>
    </w:p>
    <w:p>
      <w:pPr>
        <w:spacing w:line="240" w:lineRule="auto" w:before="0" w:after="0"/>
        <w:ind w:firstLine="709"/>
        <w:jc w:val="both"/>
      </w:pPr>
      <w:r>
        <w:rPr>
          <w:rFonts w:ascii="Times New Roman" w:hAnsi="Times New Roman" w:eastAsia="Times New Roman" w:cs="Times New Roman"/>
          <w:b w:val="0"/>
          <w:sz w:val="28"/>
        </w:rPr>
        <w:t>После изготовления из партии выбирают для углублённого контроля два PCB-MAIN, два PCB-PWR и одну PCB-MIC или одну панель. Контроль не является условием запуска остальных плат: вся партия уже изготовлена. При дефекте затронутую партию изолируют, определяют объём проверки и доработки; изменение конструкции оформляют ECO. Условие подписанного Review B PCB-MIC о паузе после первого образца заменено требованием заказчика только в части очередности. Новая подпись технического Review B этим извещением не создаётся.</w:t>
      </w:r>
    </w:p>
    <w:p>
      <w:pPr>
        <w:pStyle w:val="Heading1"/>
        <w:spacing w:line="240" w:lineRule="auto" w:before="0" w:after="0"/>
        <w:ind w:firstLine="0"/>
        <w:jc w:val="both"/>
      </w:pPr>
      <w:r>
        <w:rPr>
          <w:rFonts w:ascii="Times New Roman" w:hAnsi="Times New Roman" w:eastAsia="Times New Roman" w:cs="Times New Roman"/>
          <w:b/>
          <w:sz w:val="28"/>
        </w:rPr>
        <w:t>English order instruction</w:t>
      </w:r>
    </w:p>
    <w:p>
      <w:pPr>
        <w:spacing w:line="240" w:lineRule="auto" w:before="0" w:after="0"/>
        <w:ind w:firstLine="709"/>
        <w:jc w:val="both"/>
      </w:pPr>
      <w:r>
        <w:rPr>
          <w:rFonts w:ascii="Times New Roman" w:hAnsi="Times New Roman" w:eastAsia="Times New Roman" w:cs="Times New Roman"/>
          <w:b w:val="0"/>
          <w:sz w:val="28"/>
        </w:rPr>
        <w:t>Place the full order at once: 22 PCB-MAIN, 22 PCB-PWR and 80 PCB-MIC PCBAs. Fabricate and assemble each complete lot without pausing after first articles. Earlier Rev D instructions to make 2 then 20, or 1 then 79, are superseded only for production sequencing. Quantities and manufacturing files remain unchanged.</w:t>
      </w:r>
    </w:p>
    <w:p>
      <w:pPr>
        <w:spacing w:line="240" w:lineRule="auto" w:before="0" w:after="0"/>
        <w:ind w:firstLine="709"/>
        <w:jc w:val="both"/>
      </w:pPr>
      <w:r>
        <w:rPr>
          <w:rFonts w:ascii="Times New Roman" w:hAnsi="Times New Roman" w:eastAsia="Times New Roman" w:cs="Times New Roman"/>
          <w:b w:val="0"/>
          <w:sz w:val="28"/>
        </w:rPr>
        <w:t>PCB-MAIN stays as routed. Do not order controlled impedance or a guaranteed 50-ohm target for this EVT lot. Before panel release, confirm the selected stack, DFM and epoxy filling with copper capping of all 76 vias in the order CSV, including C6.1 and D11.1. If this cannot be achieved, stop panel release and request an ECO.</w:t>
      </w:r>
    </w:p>
    <w:p>
      <w:pPr>
        <w:spacing w:line="240" w:lineRule="auto" w:before="0" w:after="0"/>
        <w:ind w:firstLine="709"/>
        <w:jc w:val="both"/>
      </w:pPr>
      <w:r>
        <w:rPr>
          <w:rFonts w:ascii="Times New Roman" w:hAnsi="Times New Roman" w:eastAsia="Times New Roman" w:cs="Times New Roman"/>
          <w:b w:val="0"/>
          <w:sz w:val="28"/>
        </w:rPr>
        <w:t>After fabrication, select two PCB-MAIN, two PCB-PWR and one PCB-MIC or one panel for enhanced inspection and EVT tests. These checks do not gate fabrication of the rest of the lot. Quarantine and disposition any affected lot if defects are found. The signed PCB-MIC Review B first-article pause is superseded by the customer schedule only; this notice is not a new technical review signature.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64"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709"/>
      <w:jc w:val="both"/>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709"/>
      <w:jc w:val="both"/>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709"/>
      <w:jc w:val="both"/>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ind w:firstLine="709"/>
      <w:jc w:val="both"/>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ind w:firstLine="709"/>
      <w:jc w:val="both"/>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ind w:firstLine="709"/>
      <w:jc w:val="both"/>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09"/>
      <w:jc w:val="both"/>
    </w:pPr>
    <w:rPr>
      <w:rFonts w:ascii="Times New Roman" w:hAnsi="Times New Roman"/>
      <w:b w:val="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before="0"/>
      <w:ind w:firstLine="709"/>
      <w:jc w:val="both"/>
    </w:pPr>
    <w:rPr>
      <w:rFonts w:ascii="Times New Roman" w:hAnsi="Times New Roman"/>
      <w:b w:val="0"/>
      <w:sz w:val="2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ind w:firstLine="709"/>
      <w:jc w:val="both"/>
    </w:pPr>
    <w:rPr>
      <w:rFonts w:ascii="Times New Roman" w:hAnsi="Times New Roman"/>
      <w:b w:val="0"/>
      <w:sz w:val="2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ind w:firstLine="709"/>
      <w:jc w:val="both"/>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ind w:firstLine="709"/>
      <w:jc w:val="both"/>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ind w:firstLine="709"/>
      <w:jc w:val="both"/>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ind w:firstLine="709"/>
      <w:jc w:val="both"/>
      <w:outlineLvl w:val="3"/>
    </w:pPr>
    <w:rPr>
      <w:rFonts w:asciiTheme="majorHAnsi" w:eastAsiaTheme="majorEastAsia" w:hAnsiTheme="majorHAnsi" w:cstheme="majorBidi" w:ascii="Times New Roman" w:hAnsi="Times New Roman"/>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ind w:firstLine="709"/>
      <w:jc w:val="both"/>
      <w:outlineLvl w:val="4"/>
    </w:pPr>
    <w:rPr>
      <w:rFonts w:asciiTheme="majorHAnsi" w:eastAsiaTheme="majorEastAsia" w:hAnsiTheme="majorHAnsi" w:cstheme="majorBidi" w:ascii="Times New Roman" w:hAnsi="Times New Roman"/>
      <w:b/>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ind w:firstLine="709"/>
      <w:jc w:val="both"/>
      <w:outlineLvl w:val="5"/>
    </w:pPr>
    <w:rPr>
      <w:rFonts w:asciiTheme="majorHAnsi" w:eastAsiaTheme="majorEastAsia" w:hAnsiTheme="majorHAnsi" w:cstheme="majorBidi" w:ascii="Times New Roman" w:hAnsi="Times New Roman"/>
      <w:b/>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ind w:firstLine="709"/>
      <w:jc w:val="both"/>
      <w:outlineLvl w:val="6"/>
    </w:pPr>
    <w:rPr>
      <w:rFonts w:asciiTheme="majorHAnsi" w:eastAsiaTheme="majorEastAsia" w:hAnsiTheme="majorHAnsi" w:cstheme="majorBidi" w:ascii="Times New Roman" w:hAnsi="Times New Roman"/>
      <w:b/>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ind w:firstLine="709"/>
      <w:jc w:val="both"/>
      <w:outlineLvl w:val="7"/>
    </w:pPr>
    <w:rPr>
      <w:rFonts w:asciiTheme="majorHAnsi" w:eastAsiaTheme="majorEastAsia" w:hAnsiTheme="majorHAnsi" w:cstheme="majorBidi" w:ascii="Times New Roman" w:hAnsi="Times New Roman"/>
      <w:b/>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ind w:firstLine="709"/>
      <w:jc w:val="both"/>
      <w:outlineLvl w:val="8"/>
    </w:pPr>
    <w:rPr>
      <w:rFonts w:asciiTheme="majorHAnsi" w:eastAsiaTheme="majorEastAsia" w:hAnsiTheme="majorHAnsi" w:cstheme="majorBidi" w:ascii="Times New Roman" w:hAnsi="Times New Roman"/>
      <w:b/>
      <w:i/>
      <w:iCs/>
      <w:color w:val="404040" w:themeColor="text1" w:themeTint="BF"/>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ind w:firstLine="709"/>
      <w:jc w:val="both"/>
    </w:pPr>
    <w:rPr>
      <w:rFonts w:ascii="Times New Roman" w:hAnsi="Times New Roman"/>
      <w:b w:val="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ind w:firstLine="709"/>
      <w:contextualSpacing/>
      <w:jc w:val="both"/>
    </w:pPr>
    <w:rPr>
      <w:rFonts w:asciiTheme="majorHAnsi" w:eastAsiaTheme="majorEastAsia" w:hAnsiTheme="majorHAnsi" w:cstheme="majorBidi" w:ascii="Times New Roman" w:hAnsi="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before="0" w:after="0"/>
      <w:ind w:firstLine="709"/>
      <w:jc w:val="both"/>
    </w:pPr>
    <w:rPr>
      <w:rFonts w:asciiTheme="majorHAnsi" w:eastAsiaTheme="majorEastAsia" w:hAnsiTheme="majorHAnsi" w:cstheme="majorBidi" w:ascii="Times New Roman" w:hAnsi="Times New Roman"/>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40" w:lineRule="auto" w:before="0" w:after="0"/>
      <w:ind w:left="720" w:firstLine="709"/>
      <w:contextualSpacing/>
      <w:jc w:val="both"/>
    </w:pPr>
    <w:rPr>
      <w:rFonts w:ascii="Times New Roman" w:hAnsi="Times New Roman"/>
      <w:b w:val="0"/>
      <w:sz w:val="28"/>
    </w:rPr>
  </w:style>
  <w:style w:type="paragraph" w:styleId="BodyText">
    <w:name w:val="Body Text"/>
    <w:basedOn w:val="Normal"/>
    <w:link w:val="BodyTextChar"/>
    <w:uiPriority w:val="99"/>
    <w:unhideWhenUsed/>
    <w:rsid w:val="00AA1D8D"/>
    <w:pPr>
      <w:spacing w:after="0" w:line="240" w:lineRule="auto" w:before="0"/>
      <w:ind w:firstLine="709"/>
      <w:jc w:val="both"/>
    </w:pPr>
    <w:rPr>
      <w:rFonts w:ascii="Times New Roman" w:hAnsi="Times New Roman"/>
      <w:b w:val="0"/>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0" w:line="240" w:lineRule="auto" w:before="0"/>
      <w:ind w:firstLine="709"/>
      <w:jc w:val="both"/>
    </w:pPr>
    <w:rPr>
      <w:rFonts w:ascii="Times New Roman" w:hAnsi="Times New Roman"/>
      <w:b w:val="0"/>
      <w:sz w:val="28"/>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0" w:line="240" w:lineRule="auto" w:before="0"/>
      <w:ind w:firstLine="709"/>
      <w:jc w:val="both"/>
    </w:pPr>
    <w:rPr>
      <w:rFonts w:ascii="Times New Roman" w:hAnsi="Times New Roman"/>
      <w:b w:val="0"/>
      <w:sz w:val="28"/>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40" w:lineRule="auto" w:before="0" w:after="0"/>
      <w:ind w:left="360" w:firstLine="709"/>
      <w:contextualSpacing/>
      <w:jc w:val="both"/>
    </w:pPr>
    <w:rPr>
      <w:rFonts w:ascii="Times New Roman" w:hAnsi="Times New Roman"/>
      <w:b w:val="0"/>
      <w:sz w:val="28"/>
    </w:rPr>
  </w:style>
  <w:style w:type="paragraph" w:styleId="List2">
    <w:name w:val="List 2"/>
    <w:basedOn w:val="Normal"/>
    <w:uiPriority w:val="99"/>
    <w:unhideWhenUsed/>
    <w:rsid w:val="00326F90"/>
    <w:pPr>
      <w:spacing w:line="240" w:lineRule="auto" w:before="0" w:after="0"/>
      <w:ind w:left="720" w:firstLine="709"/>
      <w:contextualSpacing/>
      <w:jc w:val="both"/>
    </w:pPr>
    <w:rPr>
      <w:rFonts w:ascii="Times New Roman" w:hAnsi="Times New Roman"/>
      <w:b w:val="0"/>
      <w:sz w:val="28"/>
    </w:rPr>
  </w:style>
  <w:style w:type="paragraph" w:styleId="List3">
    <w:name w:val="List 3"/>
    <w:basedOn w:val="Normal"/>
    <w:uiPriority w:val="99"/>
    <w:unhideWhenUsed/>
    <w:rsid w:val="00326F90"/>
    <w:pPr>
      <w:spacing w:line="240" w:lineRule="auto" w:before="0" w:after="0"/>
      <w:ind w:left="1080" w:firstLine="709"/>
      <w:contextualSpacing/>
      <w:jc w:val="both"/>
    </w:pPr>
    <w:rPr>
      <w:rFonts w:ascii="Times New Roman" w:hAnsi="Times New Roman"/>
      <w:b w:val="0"/>
      <w:sz w:val="28"/>
    </w:rPr>
  </w:style>
  <w:style w:type="paragraph" w:styleId="ListBullet">
    <w:name w:val="List Bullet"/>
    <w:basedOn w:val="Normal"/>
    <w:uiPriority w:val="99"/>
    <w:unhideWhenUsed/>
    <w:rsid w:val="00326F90"/>
    <w:pPr>
      <w:numPr>
        <w:numId w:val="1"/>
      </w:numPr>
      <w:spacing w:line="240" w:lineRule="auto" w:before="0" w:after="0"/>
      <w:ind w:firstLine="709"/>
      <w:contextualSpacing/>
      <w:jc w:val="both"/>
    </w:pPr>
    <w:rPr>
      <w:rFonts w:ascii="Times New Roman" w:hAnsi="Times New Roman"/>
      <w:b w:val="0"/>
      <w:sz w:val="28"/>
    </w:rPr>
  </w:style>
  <w:style w:type="paragraph" w:styleId="ListBullet2">
    <w:name w:val="List Bullet 2"/>
    <w:basedOn w:val="Normal"/>
    <w:uiPriority w:val="99"/>
    <w:unhideWhenUsed/>
    <w:rsid w:val="00326F90"/>
    <w:pPr>
      <w:numPr>
        <w:numId w:val="2"/>
      </w:numPr>
      <w:spacing w:line="240" w:lineRule="auto" w:before="0" w:after="0"/>
      <w:ind w:firstLine="709"/>
      <w:contextualSpacing/>
      <w:jc w:val="both"/>
    </w:pPr>
    <w:rPr>
      <w:rFonts w:ascii="Times New Roman" w:hAnsi="Times New Roman"/>
      <w:b w:val="0"/>
      <w:sz w:val="28"/>
    </w:rPr>
  </w:style>
  <w:style w:type="paragraph" w:styleId="ListBullet3">
    <w:name w:val="List Bullet 3"/>
    <w:basedOn w:val="Normal"/>
    <w:uiPriority w:val="99"/>
    <w:unhideWhenUsed/>
    <w:rsid w:val="00326F90"/>
    <w:pPr>
      <w:numPr>
        <w:numId w:val="3"/>
      </w:numPr>
      <w:spacing w:line="240" w:lineRule="auto" w:before="0" w:after="0"/>
      <w:ind w:firstLine="709"/>
      <w:contextualSpacing/>
      <w:jc w:val="both"/>
    </w:pPr>
    <w:rPr>
      <w:rFonts w:ascii="Times New Roman" w:hAnsi="Times New Roman"/>
      <w:b w:val="0"/>
      <w:sz w:val="28"/>
    </w:rPr>
  </w:style>
  <w:style w:type="paragraph" w:styleId="ListNumber">
    <w:name w:val="List Number"/>
    <w:basedOn w:val="Normal"/>
    <w:uiPriority w:val="99"/>
    <w:unhideWhenUsed/>
    <w:rsid w:val="00326F90"/>
    <w:pPr>
      <w:numPr>
        <w:numId w:val="5"/>
      </w:numPr>
      <w:spacing w:line="240" w:lineRule="auto" w:before="0" w:after="0"/>
      <w:ind w:firstLine="709"/>
      <w:contextualSpacing/>
      <w:jc w:val="both"/>
    </w:pPr>
    <w:rPr>
      <w:rFonts w:ascii="Times New Roman" w:hAnsi="Times New Roman"/>
      <w:b w:val="0"/>
      <w:sz w:val="28"/>
    </w:rPr>
  </w:style>
  <w:style w:type="paragraph" w:styleId="ListNumber2">
    <w:name w:val="List Number 2"/>
    <w:basedOn w:val="Normal"/>
    <w:uiPriority w:val="99"/>
    <w:unhideWhenUsed/>
    <w:rsid w:val="0029639D"/>
    <w:pPr>
      <w:numPr>
        <w:numId w:val="6"/>
      </w:numPr>
      <w:spacing w:line="240" w:lineRule="auto" w:before="0" w:after="0"/>
      <w:ind w:firstLine="709"/>
      <w:contextualSpacing/>
      <w:jc w:val="both"/>
    </w:pPr>
    <w:rPr>
      <w:rFonts w:ascii="Times New Roman" w:hAnsi="Times New Roman"/>
      <w:b w:val="0"/>
      <w:sz w:val="28"/>
    </w:rPr>
  </w:style>
  <w:style w:type="paragraph" w:styleId="ListNumber3">
    <w:name w:val="List Number 3"/>
    <w:basedOn w:val="Normal"/>
    <w:uiPriority w:val="99"/>
    <w:unhideWhenUsed/>
    <w:rsid w:val="0029639D"/>
    <w:pPr>
      <w:numPr>
        <w:numId w:val="7"/>
      </w:numPr>
      <w:spacing w:line="240" w:lineRule="auto" w:before="0" w:after="0"/>
      <w:ind w:firstLine="709"/>
      <w:contextualSpacing/>
      <w:jc w:val="both"/>
    </w:pPr>
    <w:rPr>
      <w:rFonts w:ascii="Times New Roman" w:hAnsi="Times New Roman"/>
      <w:b w:val="0"/>
      <w:sz w:val="28"/>
    </w:rPr>
  </w:style>
  <w:style w:type="paragraph" w:styleId="ListContinue">
    <w:name w:val="List Continue"/>
    <w:basedOn w:val="Normal"/>
    <w:uiPriority w:val="99"/>
    <w:unhideWhenUsed/>
    <w:rsid w:val="0029639D"/>
    <w:pPr>
      <w:spacing w:after="0" w:line="240" w:lineRule="auto" w:before="0"/>
      <w:ind w:left="360" w:firstLine="709"/>
      <w:contextualSpacing/>
      <w:jc w:val="both"/>
    </w:pPr>
    <w:rPr>
      <w:rFonts w:ascii="Times New Roman" w:hAnsi="Times New Roman"/>
      <w:b w:val="0"/>
      <w:sz w:val="28"/>
    </w:rPr>
  </w:style>
  <w:style w:type="paragraph" w:styleId="ListContinue2">
    <w:name w:val="List Continue 2"/>
    <w:basedOn w:val="Normal"/>
    <w:uiPriority w:val="99"/>
    <w:unhideWhenUsed/>
    <w:rsid w:val="0029639D"/>
    <w:pPr>
      <w:spacing w:after="0" w:line="240" w:lineRule="auto" w:before="0"/>
      <w:ind w:left="720" w:firstLine="709"/>
      <w:contextualSpacing/>
      <w:jc w:val="both"/>
    </w:pPr>
    <w:rPr>
      <w:rFonts w:ascii="Times New Roman" w:hAnsi="Times New Roman"/>
      <w:b w:val="0"/>
      <w:sz w:val="28"/>
    </w:rPr>
  </w:style>
  <w:style w:type="paragraph" w:styleId="ListContinue3">
    <w:name w:val="List Continue 3"/>
    <w:basedOn w:val="Normal"/>
    <w:uiPriority w:val="99"/>
    <w:unhideWhenUsed/>
    <w:rsid w:val="0029639D"/>
    <w:pPr>
      <w:spacing w:after="0" w:line="240" w:lineRule="auto" w:before="0"/>
      <w:ind w:left="1080" w:firstLine="709"/>
      <w:contextualSpacing/>
      <w:jc w:val="both"/>
    </w:pPr>
    <w:rPr>
      <w:rFonts w:ascii="Times New Roman" w:hAnsi="Times New Roman"/>
      <w:b w:val="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before="0" w:after="0"/>
      <w:ind w:firstLine="709"/>
      <w:jc w:val="both"/>
    </w:pPr>
    <w:rPr>
      <w:rFonts w:ascii="Times New Roman" w:hAnsi="Times New Roman"/>
      <w:b w:val="0"/>
      <w:sz w:val="28"/>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40" w:lineRule="auto" w:before="0" w:after="0"/>
      <w:ind w:firstLine="709"/>
      <w:jc w:val="both"/>
    </w:pPr>
    <w:rPr>
      <w:rFonts w:ascii="Times New Roman" w:hAnsi="Times New Roman"/>
      <w:b w:val="0"/>
      <w:i/>
      <w:iCs/>
      <w:color w:val="000000" w:themeColor="text1"/>
      <w:sz w:val="28"/>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ind w:firstLine="709"/>
      <w:jc w:val="both"/>
    </w:pPr>
    <w:rPr>
      <w:rFonts w:ascii="Times New Roman" w:hAnsi="Times New Roman"/>
      <w:b w:val="0"/>
      <w:bCs/>
      <w:color w:val="4F81BD" w:themeColor="accent1"/>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firstLine="709"/>
      <w:jc w:val="both"/>
    </w:pPr>
    <w:rPr>
      <w:rFonts w:ascii="Times New Roman" w:hAnsi="Times New Roman"/>
      <w:b w:val="0"/>
      <w:bCs/>
      <w:i/>
      <w:iCs/>
      <w:color w:val="4F81BD" w:themeColor="accent1"/>
      <w:sz w:val="28"/>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40" w:lineRule="auto" w:before="0" w:after="0"/>
      <w:ind w:firstLine="709"/>
      <w:jc w:val="both"/>
      <w:outlineLvl w:val="9"/>
    </w:pPr>
    <w:rPr>
      <w:rFonts w:ascii="Times New Roman" w:hAnsi="Times New Roman"/>
      <w:b w:val="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