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before="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Инструкция сборки акустической головы и станции EVT PRE 20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Редакция D2, 01.10.2026. Основание внешнего вида: утверждённое изображение «Рисунок1.png». В готовом изделии цилиндрическая акустическая голова закрыта непрозрачным поролоном. На эталоне покрытие показано прозрачным для демонстрации расположения микрофонов.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1. Статус и неизменяемая плата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PCB-MIC Rev B уже передана в производство. Настоящее уточнение относится только к корпусу, креплениям, жгутам и сборке. Плата, её Gerber, сверловка и производственный заказ не меняются. Контрольный SHA-256 платы: c57cebbb3886247166551fd242fa51350bc9be7fee6299e63e7eaac60518d518.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Модели DIO-3DP-MC-001B и DIO-3DP-AH-001A являются предварительными для опытной печати и примерки. Модели папки литья отражают форму, но не являются готовым заданием на изготовление пресс-формы. Квадратный стакан версии 001A исключён из текущего пакета.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2. Состав акустической головы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На одну станцию применить четыре цилиндрических корпуса микрофонов и четыре крышки DIO-3DP-MC-001B, одну нижнюю траверсу, одну центральную стойку, одну верхнюю траверсу, шесть вертикальных стоек и один купол DIO-3DP-AH-001A. Количества для партий 20, 40 и 41 станции приведены в отдельной ведомости XLSX и CSV. Акустический поролон задаётся только раскройным габаритом Ø216 × 205 мм; марка, толщина, шов и закупочное количество подлежат выбору после испытаний.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3. Геометрия и ориентация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Акустические центры MIC1, MIC2, MIC3 в миллиметрах относительно оси головы: (0; +69,282; 0), (-60; -34,641; 0), (+60; -34,641; 0). MIC4 расположен в (0; 0; +150). Сторона нижнего треугольника 120 мм. Наружный размер печатного несущего кольца Ø208 мм, раскройный габарит поролона Ø216 мм, высота головы 255 мм. Отсчёт Z для микрофонов ведётся от уровня нижней тройки, как в ACOUSTIC_GEOMETRY.csv.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Плата PCB-MIC имеет габарит 24 × 22 × 1 мм. Акустическое отверстие NPTH Ø0,80 расположено в координатах KiCad (12; 16,65), отверстия крепления NPTH Ø2,2 находятся в (4; 16,65) и (20; 16,65). В корпусе ось порта совпадает с осью Ø1,2; номинальный зазор до платы 0,6 мм. Плату установить акустической стороной к верхней стенке. Разъём J1 и выход жгута направить к +Y корпуса. Клей и герметик не должны перекрывать порт.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4. Порядок сборки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4.1. Проверить маркировку четырёх PCB-MIC Rev B, целостность порта Ø0,80 и ответные части разъёмов. Осмотреть печатные корпуса на проходимость канала и отсутствие деформации.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4.2. Примерить каждую плату в цилиндрическом стакане. Закрепить через штатные отверстия без нагрузки на MK1. Выбранная мембрана и уплотнение не должны перекрывать акустический канал.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4.3. Установить MIC1, MIC2, MIC3 на нижней траверсе, MIC4 на верхней. Поставить центральную стойку, шесть рёбер и купол. Измерить координаты четырёх акустических центров.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4.4. Подключить H-MIC1, H-MIC2, H-MIC3, H-MIC4 к J1 каждой платы и к PCB-MAIN по схеме межблочных соединений. Длина заготовки каждого жгута 275 ± 5 мм; провести физическую примерку трассы без натяжения и защемления.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4.5. Установить акустический поролон по наружному габариту. Обеспечить доступ к сервисному разъёму и дренаж согласно результату испытания. Установить отдельный бокс электроники под головой, кассету PCB-PWR, блок RB40/MPPT, солнечную панель и мачтовые крепления.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4.6. Подключить питание по цепи PV, MPPT, RB40, PCB-PWR, PCB-MAIN. Установить три антенных кабеля Taoglas CAB.0243 длиной 150 мм на J8/J9/J10 и соответствующие антенны из BOM. Проводить силовые и RF соединения по отдельным файлам заказа жгутов и схеме соединений.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5. Контроль перед закрытием корпуса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Проверить реальную посадку PCBA и ответного J1, чистоту и соосность акустического канала, координаты 3+1, независимую работоспособность четырёх каналов, отсутствие натяжения жгутов, герметизацию кабельных вводов и совместимость поролона с мембраной. Провести испытания воды, дренажа, ветровой нагрузки, ультрафиолета и прочности крепления. Тип и момент затяжки крепежа определить после выбора конкретного изделия и испытания резьбовых вставок. До выполнения проверок корпус остаётся предварительным.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Нижний макет батарейного блока и крепления солнечной панели также предварительные. Если деталь превышает рабочую область принтера, её требуется изготовить на другом оборудовании или разделить отдельным конструкторским изменением. Не масштабировать STL автоматически.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6. Состав выдачи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Полная схема RU/EN находится в PDF рядом. Детали STEP/STL и ведомость находятся в папке 03, макеты литья в папке 04. Электрическая схема и заказы плат и жгутов находятся в отдельных разделах. Архив PCB-MIC Review B хранится отдельно от производственного пакета.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